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428" w:rsidRDefault="00995CB4">
      <w:r>
        <w:t>Assessment 1:  Praxis II Scores</w:t>
      </w:r>
    </w:p>
    <w:p w:rsidR="00995CB4" w:rsidRDefault="00995CB4">
      <w:r>
        <w:t xml:space="preserve">Beginning 9/1/2010 candidates were required to submit scores from the new special education core knowledge test.  In addition, candidates began taking middle childhood content area tests and teaching reading in order to become highly qualified in at least two areas.  </w:t>
      </w:r>
      <w:r w:rsidR="00BE0DBF">
        <w:t xml:space="preserve">If data are not presented for a group of candidates for a program level (PB= post baccalaureate; </w:t>
      </w:r>
      <w:proofErr w:type="spellStart"/>
      <w:r w:rsidR="00BE0DBF">
        <w:t>Trad</w:t>
      </w:r>
      <w:proofErr w:type="spellEnd"/>
      <w:r w:rsidR="00BE0DBF">
        <w:t xml:space="preserve"> = four year </w:t>
      </w:r>
      <w:proofErr w:type="spellStart"/>
      <w:r w:rsidR="00BE0DBF">
        <w:t>BSEd</w:t>
      </w:r>
      <w:proofErr w:type="spellEnd"/>
      <w:r w:rsidR="00BE0DBF">
        <w:t xml:space="preserve">), no candidates in that group took the test.  Additionally, if data is missing for a year, no candidates took the test.  </w:t>
      </w:r>
      <w:r>
        <w:t xml:space="preserve">Data are presented beginning 2010-2011 academic year; earlier data are available in </w:t>
      </w:r>
      <w:hyperlink r:id="rId5" w:history="1">
        <w:r w:rsidRPr="00024848">
          <w:rPr>
            <w:rStyle w:val="Hyperlink"/>
          </w:rPr>
          <w:t>http://aims.ncate.org</w:t>
        </w:r>
      </w:hyperlink>
      <w:r>
        <w:t xml:space="preserve"> .</w:t>
      </w:r>
    </w:p>
    <w:p w:rsidR="00BE0DBF" w:rsidRDefault="00BE0DBF"/>
    <w:p w:rsidR="00BE0DBF" w:rsidRDefault="00BE0DBF"/>
    <w:p w:rsidR="00995CB4" w:rsidRDefault="00995CB4">
      <w:r>
        <w:rPr>
          <w:noProof/>
        </w:rPr>
        <w:drawing>
          <wp:inline distT="0" distB="0" distL="0" distR="0" wp14:anchorId="01787DD1" wp14:editId="067F696C">
            <wp:extent cx="6050280" cy="3680460"/>
            <wp:effectExtent l="0" t="0" r="762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95CB4" w:rsidRDefault="00995CB4"/>
    <w:p w:rsidR="00995CB4" w:rsidRDefault="00995CB4">
      <w:r>
        <w:rPr>
          <w:noProof/>
        </w:rPr>
        <w:lastRenderedPageBreak/>
        <w:drawing>
          <wp:inline distT="0" distB="0" distL="0" distR="0" wp14:anchorId="3B04FC45" wp14:editId="494EC1A0">
            <wp:extent cx="5935980" cy="4000500"/>
            <wp:effectExtent l="0" t="0" r="762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95CB4" w:rsidRDefault="00995CB4"/>
    <w:p w:rsidR="00995CB4" w:rsidRDefault="00995CB4">
      <w:r>
        <w:rPr>
          <w:noProof/>
        </w:rPr>
        <w:drawing>
          <wp:inline distT="0" distB="0" distL="0" distR="0" wp14:anchorId="470DAC6D" wp14:editId="729CA13E">
            <wp:extent cx="5935980" cy="3535680"/>
            <wp:effectExtent l="0" t="0" r="7620" b="76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05BC6" w:rsidRDefault="00F05BC6"/>
    <w:p w:rsidR="00F05BC6" w:rsidRDefault="00F05BC6">
      <w:r>
        <w:rPr>
          <w:noProof/>
        </w:rPr>
        <w:drawing>
          <wp:inline distT="0" distB="0" distL="0" distR="0" wp14:anchorId="32B3B08F" wp14:editId="32892F2C">
            <wp:extent cx="5996940" cy="3733800"/>
            <wp:effectExtent l="0" t="0" r="381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5BC6" w:rsidRDefault="00F05BC6"/>
    <w:p w:rsidR="00F05BC6" w:rsidRDefault="00F05BC6">
      <w:r>
        <w:rPr>
          <w:noProof/>
        </w:rPr>
        <w:drawing>
          <wp:inline distT="0" distB="0" distL="0" distR="0" wp14:anchorId="422D4949" wp14:editId="5E6148B0">
            <wp:extent cx="5996940" cy="3634740"/>
            <wp:effectExtent l="0" t="0" r="3810" b="38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05BC6" w:rsidRDefault="00F05BC6"/>
    <w:p w:rsidR="00F05BC6" w:rsidRDefault="00F05BC6">
      <w:r>
        <w:rPr>
          <w:noProof/>
        </w:rPr>
        <w:drawing>
          <wp:inline distT="0" distB="0" distL="0" distR="0" wp14:anchorId="22AA2460" wp14:editId="744245FF">
            <wp:extent cx="6073140" cy="3512820"/>
            <wp:effectExtent l="0" t="0" r="381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E0DBF" w:rsidRDefault="00BE0DBF"/>
    <w:p w:rsidR="00BE0DBF" w:rsidRDefault="00BE0DBF">
      <w:bookmarkStart w:id="0" w:name="_GoBack"/>
      <w:r>
        <w:rPr>
          <w:noProof/>
        </w:rPr>
        <w:drawing>
          <wp:inline distT="0" distB="0" distL="0" distR="0" wp14:anchorId="55D1DAF8" wp14:editId="6ECA48D0">
            <wp:extent cx="6035040" cy="3756660"/>
            <wp:effectExtent l="0" t="0" r="381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0"/>
    </w:p>
    <w:sectPr w:rsidR="00BE0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CB4"/>
    <w:rsid w:val="00925428"/>
    <w:rsid w:val="00995CB4"/>
    <w:rsid w:val="00BE0DBF"/>
    <w:rsid w:val="00F0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CB4"/>
    <w:rPr>
      <w:color w:val="0000FF" w:themeColor="hyperlink"/>
      <w:u w:val="single"/>
    </w:rPr>
  </w:style>
  <w:style w:type="paragraph" w:styleId="BalloonText">
    <w:name w:val="Balloon Text"/>
    <w:basedOn w:val="Normal"/>
    <w:link w:val="BalloonTextChar"/>
    <w:uiPriority w:val="99"/>
    <w:semiHidden/>
    <w:unhideWhenUsed/>
    <w:rsid w:val="00995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C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CB4"/>
    <w:rPr>
      <w:color w:val="0000FF" w:themeColor="hyperlink"/>
      <w:u w:val="single"/>
    </w:rPr>
  </w:style>
  <w:style w:type="paragraph" w:styleId="BalloonText">
    <w:name w:val="Balloon Text"/>
    <w:basedOn w:val="Normal"/>
    <w:link w:val="BalloonTextChar"/>
    <w:uiPriority w:val="99"/>
    <w:semiHidden/>
    <w:unhideWhenUsed/>
    <w:rsid w:val="00995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C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chart" Target="charts/chart7.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hyperlink" Target="http://aims.ncate.org" TargetMode="Externa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4"/>
    </mc:Choice>
    <mc:Fallback>
      <c:style val="44"/>
    </mc:Fallback>
  </mc:AlternateContent>
  <c:clrMapOvr bg1="lt1" tx1="dk1" bg2="lt2" tx2="dk2" accent1="accent1" accent2="accent2" accent3="accent3" accent4="accent4" accent5="accent5" accent6="accent6" hlink="hlink" folHlink="folHlink"/>
  <c:chart>
    <c:title>
      <c:tx>
        <c:rich>
          <a:bodyPr/>
          <a:lstStyle/>
          <a:p>
            <a:pPr>
              <a:defRPr sz="1100" baseline="0"/>
            </a:pPr>
            <a:r>
              <a:rPr lang="en-US"/>
              <a:t>Percent Correct</a:t>
            </a:r>
            <a:r>
              <a:rPr lang="en-US" baseline="0"/>
              <a:t> on Special Education Core Knowledge and Applications Topics</a:t>
            </a:r>
            <a:endParaRPr lang="en-US"/>
          </a:p>
        </c:rich>
      </c:tx>
      <c:layout/>
      <c:overlay val="0"/>
    </c:title>
    <c:autoTitleDeleted val="0"/>
    <c:plotArea>
      <c:layout/>
      <c:barChart>
        <c:barDir val="col"/>
        <c:grouping val="clustered"/>
        <c:varyColors val="0"/>
        <c:ser>
          <c:idx val="0"/>
          <c:order val="0"/>
          <c:tx>
            <c:strRef>
              <c:f>Sheet1!$H$1</c:f>
              <c:strCache>
                <c:ptCount val="1"/>
                <c:pt idx="0">
                  <c:v>10 11 pb</c:v>
                </c:pt>
              </c:strCache>
            </c:strRef>
          </c:tx>
          <c:invertIfNegative val="0"/>
          <c:dLbls>
            <c:txPr>
              <a:bodyPr rot="-5400000" vert="horz"/>
              <a:lstStyle/>
              <a:p>
                <a:pPr>
                  <a:defRPr/>
                </a:pPr>
                <a:endParaRPr lang="en-US"/>
              </a:p>
            </c:txPr>
            <c:showLegendKey val="0"/>
            <c:showVal val="1"/>
            <c:showCatName val="0"/>
            <c:showSerName val="0"/>
            <c:showPercent val="0"/>
            <c:showBubbleSize val="0"/>
            <c:showLeaderLines val="0"/>
          </c:dLbls>
          <c:cat>
            <c:strRef>
              <c:f>Sheet1!$G$2:$G$6</c:f>
              <c:strCache>
                <c:ptCount val="5"/>
                <c:pt idx="0">
                  <c:v>Development and characteristics of learners</c:v>
                </c:pt>
                <c:pt idx="1">
                  <c:v>Planning and the learning environment</c:v>
                </c:pt>
                <c:pt idx="2">
                  <c:v>Instruction</c:v>
                </c:pt>
                <c:pt idx="3">
                  <c:v>Assessment</c:v>
                </c:pt>
                <c:pt idx="4">
                  <c:v>Foundations and personal responsibilities</c:v>
                </c:pt>
              </c:strCache>
            </c:strRef>
          </c:cat>
          <c:val>
            <c:numRef>
              <c:f>Sheet1!$H$2:$H$6</c:f>
              <c:numCache>
                <c:formatCode>0.00%</c:formatCode>
                <c:ptCount val="5"/>
                <c:pt idx="0">
                  <c:v>0.82850000000000001</c:v>
                </c:pt>
                <c:pt idx="1">
                  <c:v>0.80837499999999995</c:v>
                </c:pt>
                <c:pt idx="2">
                  <c:v>0.78649999999999987</c:v>
                </c:pt>
                <c:pt idx="3">
                  <c:v>0.64837500000000003</c:v>
                </c:pt>
                <c:pt idx="4">
                  <c:v>0.75337499999999991</c:v>
                </c:pt>
              </c:numCache>
            </c:numRef>
          </c:val>
        </c:ser>
        <c:ser>
          <c:idx val="1"/>
          <c:order val="1"/>
          <c:tx>
            <c:strRef>
              <c:f>Sheet1!$I$1</c:f>
              <c:strCache>
                <c:ptCount val="1"/>
                <c:pt idx="0">
                  <c:v>10 11 Trad</c:v>
                </c:pt>
              </c:strCache>
            </c:strRef>
          </c:tx>
          <c:invertIfNegative val="0"/>
          <c:dLbls>
            <c:txPr>
              <a:bodyPr rot="-5400000" vert="horz"/>
              <a:lstStyle/>
              <a:p>
                <a:pPr>
                  <a:defRPr/>
                </a:pPr>
                <a:endParaRPr lang="en-US"/>
              </a:p>
            </c:txPr>
            <c:showLegendKey val="0"/>
            <c:showVal val="1"/>
            <c:showCatName val="0"/>
            <c:showSerName val="0"/>
            <c:showPercent val="0"/>
            <c:showBubbleSize val="0"/>
            <c:showLeaderLines val="0"/>
          </c:dLbls>
          <c:cat>
            <c:strRef>
              <c:f>Sheet1!$G$2:$G$6</c:f>
              <c:strCache>
                <c:ptCount val="5"/>
                <c:pt idx="0">
                  <c:v>Development and characteristics of learners</c:v>
                </c:pt>
                <c:pt idx="1">
                  <c:v>Planning and the learning environment</c:v>
                </c:pt>
                <c:pt idx="2">
                  <c:v>Instruction</c:v>
                </c:pt>
                <c:pt idx="3">
                  <c:v>Assessment</c:v>
                </c:pt>
                <c:pt idx="4">
                  <c:v>Foundations and personal responsibilities</c:v>
                </c:pt>
              </c:strCache>
            </c:strRef>
          </c:cat>
          <c:val>
            <c:numRef>
              <c:f>Sheet1!$I$2:$I$6</c:f>
              <c:numCache>
                <c:formatCode>0.00%</c:formatCode>
                <c:ptCount val="5"/>
                <c:pt idx="0">
                  <c:v>0.82090624999999995</c:v>
                </c:pt>
                <c:pt idx="1">
                  <c:v>0.81649999999999978</c:v>
                </c:pt>
                <c:pt idx="2">
                  <c:v>0.78062500000000046</c:v>
                </c:pt>
                <c:pt idx="3">
                  <c:v>0.68053125000000014</c:v>
                </c:pt>
                <c:pt idx="4">
                  <c:v>0.77731250000000007</c:v>
                </c:pt>
              </c:numCache>
            </c:numRef>
          </c:val>
        </c:ser>
        <c:ser>
          <c:idx val="2"/>
          <c:order val="2"/>
          <c:tx>
            <c:strRef>
              <c:f>Sheet1!$J$1</c:f>
              <c:strCache>
                <c:ptCount val="1"/>
                <c:pt idx="0">
                  <c:v>11 12 Trad</c:v>
                </c:pt>
              </c:strCache>
            </c:strRef>
          </c:tx>
          <c:invertIfNegative val="0"/>
          <c:dLbls>
            <c:txPr>
              <a:bodyPr rot="-5400000" vert="horz"/>
              <a:lstStyle/>
              <a:p>
                <a:pPr>
                  <a:defRPr/>
                </a:pPr>
                <a:endParaRPr lang="en-US"/>
              </a:p>
            </c:txPr>
            <c:showLegendKey val="0"/>
            <c:showVal val="1"/>
            <c:showCatName val="0"/>
            <c:showSerName val="0"/>
            <c:showPercent val="0"/>
            <c:showBubbleSize val="0"/>
            <c:showLeaderLines val="0"/>
          </c:dLbls>
          <c:cat>
            <c:strRef>
              <c:f>Sheet1!$G$2:$G$6</c:f>
              <c:strCache>
                <c:ptCount val="5"/>
                <c:pt idx="0">
                  <c:v>Development and characteristics of learners</c:v>
                </c:pt>
                <c:pt idx="1">
                  <c:v>Planning and the learning environment</c:v>
                </c:pt>
                <c:pt idx="2">
                  <c:v>Instruction</c:v>
                </c:pt>
                <c:pt idx="3">
                  <c:v>Assessment</c:v>
                </c:pt>
                <c:pt idx="4">
                  <c:v>Foundations and personal responsibilities</c:v>
                </c:pt>
              </c:strCache>
            </c:strRef>
          </c:cat>
          <c:val>
            <c:numRef>
              <c:f>Sheet1!$J$2:$J$6</c:f>
              <c:numCache>
                <c:formatCode>0.00%</c:formatCode>
                <c:ptCount val="5"/>
                <c:pt idx="0">
                  <c:v>0.78910000000000002</c:v>
                </c:pt>
                <c:pt idx="1">
                  <c:v>0.83130000000000004</c:v>
                </c:pt>
                <c:pt idx="2">
                  <c:v>0.7198</c:v>
                </c:pt>
                <c:pt idx="3">
                  <c:v>0.70150000000000001</c:v>
                </c:pt>
                <c:pt idx="4">
                  <c:v>0.75870000000000004</c:v>
                </c:pt>
              </c:numCache>
            </c:numRef>
          </c:val>
        </c:ser>
        <c:dLbls>
          <c:showLegendKey val="0"/>
          <c:showVal val="0"/>
          <c:showCatName val="0"/>
          <c:showSerName val="0"/>
          <c:showPercent val="0"/>
          <c:showBubbleSize val="0"/>
        </c:dLbls>
        <c:gapWidth val="150"/>
        <c:axId val="50851200"/>
        <c:axId val="51108480"/>
      </c:barChart>
      <c:catAx>
        <c:axId val="50851200"/>
        <c:scaling>
          <c:orientation val="minMax"/>
        </c:scaling>
        <c:delete val="0"/>
        <c:axPos val="b"/>
        <c:majorTickMark val="none"/>
        <c:minorTickMark val="none"/>
        <c:tickLblPos val="nextTo"/>
        <c:txPr>
          <a:bodyPr/>
          <a:lstStyle/>
          <a:p>
            <a:pPr>
              <a:defRPr sz="800" baseline="0"/>
            </a:pPr>
            <a:endParaRPr lang="en-US"/>
          </a:p>
        </c:txPr>
        <c:crossAx val="51108480"/>
        <c:crosses val="autoZero"/>
        <c:auto val="1"/>
        <c:lblAlgn val="ctr"/>
        <c:lblOffset val="100"/>
        <c:noMultiLvlLbl val="0"/>
      </c:catAx>
      <c:valAx>
        <c:axId val="51108480"/>
        <c:scaling>
          <c:orientation val="minMax"/>
          <c:max val="1"/>
        </c:scaling>
        <c:delete val="0"/>
        <c:axPos val="l"/>
        <c:majorGridlines/>
        <c:numFmt formatCode="0.00%" sourceLinked="1"/>
        <c:majorTickMark val="none"/>
        <c:minorTickMark val="none"/>
        <c:tickLblPos val="nextTo"/>
        <c:txPr>
          <a:bodyPr/>
          <a:lstStyle/>
          <a:p>
            <a:pPr>
              <a:defRPr sz="800" baseline="0"/>
            </a:pPr>
            <a:endParaRPr lang="en-US"/>
          </a:p>
        </c:txPr>
        <c:crossAx val="50851200"/>
        <c:crosses val="autoZero"/>
        <c:crossBetween val="between"/>
      </c:valAx>
    </c:plotArea>
    <c:legend>
      <c:legendPos val="r"/>
      <c:layout/>
      <c:overlay val="0"/>
      <c:txPr>
        <a:bodyPr/>
        <a:lstStyle/>
        <a:p>
          <a:pPr>
            <a:defRPr sz="800" baseline="0"/>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4"/>
    </mc:Choice>
    <mc:Fallback>
      <c:style val="44"/>
    </mc:Fallback>
  </mc:AlternateContent>
  <c:clrMapOvr bg1="lt1" tx1="dk1" bg2="lt2" tx2="dk2" accent1="accent1" accent2="accent2" accent3="accent3" accent4="accent4" accent5="accent5" accent6="accent6" hlink="hlink" folHlink="folHlink"/>
  <c:chart>
    <c:title>
      <c:tx>
        <c:rich>
          <a:bodyPr/>
          <a:lstStyle/>
          <a:p>
            <a:pPr>
              <a:defRPr sz="1100" baseline="0"/>
            </a:pPr>
            <a:r>
              <a:rPr lang="en-US"/>
              <a:t>Percent Correct on Principles of Learning</a:t>
            </a:r>
            <a:r>
              <a:rPr lang="en-US" baseline="0"/>
              <a:t> and Teaching by Topic Area</a:t>
            </a:r>
            <a:endParaRPr lang="en-US"/>
          </a:p>
        </c:rich>
      </c:tx>
      <c:layout/>
      <c:overlay val="0"/>
    </c:title>
    <c:autoTitleDeleted val="0"/>
    <c:plotArea>
      <c:layout/>
      <c:barChart>
        <c:barDir val="col"/>
        <c:grouping val="clustered"/>
        <c:varyColors val="0"/>
        <c:ser>
          <c:idx val="0"/>
          <c:order val="0"/>
          <c:tx>
            <c:strRef>
              <c:f>Sheet1!$H$7</c:f>
              <c:strCache>
                <c:ptCount val="1"/>
                <c:pt idx="0">
                  <c:v>10 11 pb</c:v>
                </c:pt>
              </c:strCache>
            </c:strRef>
          </c:tx>
          <c:invertIfNegative val="0"/>
          <c:dLbls>
            <c:txPr>
              <a:bodyPr rot="-5400000" vert="horz"/>
              <a:lstStyle/>
              <a:p>
                <a:pPr>
                  <a:defRPr/>
                </a:pPr>
                <a:endParaRPr lang="en-US"/>
              </a:p>
            </c:txPr>
            <c:showLegendKey val="0"/>
            <c:showVal val="1"/>
            <c:showCatName val="0"/>
            <c:showSerName val="0"/>
            <c:showPercent val="0"/>
            <c:showBubbleSize val="0"/>
            <c:showLeaderLines val="0"/>
          </c:dLbls>
          <c:cat>
            <c:strRef>
              <c:f>Sheet1!$G$8:$G$14</c:f>
              <c:strCache>
                <c:ptCount val="7"/>
                <c:pt idx="0">
                  <c:v>I. Students as Learners</c:v>
                </c:pt>
                <c:pt idx="1">
                  <c:v>II.Instruction/Assessment </c:v>
                </c:pt>
                <c:pt idx="2">
                  <c:v>III.  Professionalism</c:v>
                </c:pt>
                <c:pt idx="3">
                  <c:v>IV. SA Students as Learners</c:v>
                </c:pt>
                <c:pt idx="4">
                  <c:v>V.  SA Instruction/Assessment</c:v>
                </c:pt>
                <c:pt idx="5">
                  <c:v>VI. SA Communication </c:v>
                </c:pt>
                <c:pt idx="6">
                  <c:v>VII: SA Professionalism</c:v>
                </c:pt>
              </c:strCache>
            </c:strRef>
          </c:cat>
          <c:val>
            <c:numRef>
              <c:f>Sheet1!$H$8:$H$14</c:f>
              <c:numCache>
                <c:formatCode>0.00%</c:formatCode>
                <c:ptCount val="7"/>
                <c:pt idx="0">
                  <c:v>0.82499999999999996</c:v>
                </c:pt>
                <c:pt idx="1">
                  <c:v>0.75</c:v>
                </c:pt>
                <c:pt idx="2">
                  <c:v>0.77500000000000002</c:v>
                </c:pt>
                <c:pt idx="3">
                  <c:v>0.7</c:v>
                </c:pt>
                <c:pt idx="4">
                  <c:v>0.67500000000000004</c:v>
                </c:pt>
                <c:pt idx="5">
                  <c:v>0.6</c:v>
                </c:pt>
                <c:pt idx="6">
                  <c:v>0.55000000000000004</c:v>
                </c:pt>
              </c:numCache>
            </c:numRef>
          </c:val>
        </c:ser>
        <c:ser>
          <c:idx val="1"/>
          <c:order val="1"/>
          <c:tx>
            <c:strRef>
              <c:f>Sheet1!$I$7</c:f>
              <c:strCache>
                <c:ptCount val="1"/>
                <c:pt idx="0">
                  <c:v>10 11 Trad</c:v>
                </c:pt>
              </c:strCache>
            </c:strRef>
          </c:tx>
          <c:invertIfNegative val="0"/>
          <c:dLbls>
            <c:txPr>
              <a:bodyPr rot="-5400000" vert="horz"/>
              <a:lstStyle/>
              <a:p>
                <a:pPr>
                  <a:defRPr/>
                </a:pPr>
                <a:endParaRPr lang="en-US"/>
              </a:p>
            </c:txPr>
            <c:showLegendKey val="0"/>
            <c:showVal val="1"/>
            <c:showCatName val="0"/>
            <c:showSerName val="0"/>
            <c:showPercent val="0"/>
            <c:showBubbleSize val="0"/>
            <c:showLeaderLines val="0"/>
          </c:dLbls>
          <c:cat>
            <c:strRef>
              <c:f>Sheet1!$G$8:$G$14</c:f>
              <c:strCache>
                <c:ptCount val="7"/>
                <c:pt idx="0">
                  <c:v>I. Students as Learners</c:v>
                </c:pt>
                <c:pt idx="1">
                  <c:v>II.Instruction/Assessment </c:v>
                </c:pt>
                <c:pt idx="2">
                  <c:v>III.  Professionalism</c:v>
                </c:pt>
                <c:pt idx="3">
                  <c:v>IV. SA Students as Learners</c:v>
                </c:pt>
                <c:pt idx="4">
                  <c:v>V.  SA Instruction/Assessment</c:v>
                </c:pt>
                <c:pt idx="5">
                  <c:v>VI. SA Communication </c:v>
                </c:pt>
                <c:pt idx="6">
                  <c:v>VII: SA Professionalism</c:v>
                </c:pt>
              </c:strCache>
            </c:strRef>
          </c:cat>
          <c:val>
            <c:numRef>
              <c:f>Sheet1!$I$8:$I$14</c:f>
              <c:numCache>
                <c:formatCode>0.00%</c:formatCode>
                <c:ptCount val="7"/>
                <c:pt idx="0">
                  <c:v>0.76358695652173914</c:v>
                </c:pt>
                <c:pt idx="1">
                  <c:v>0.73478260869565215</c:v>
                </c:pt>
                <c:pt idx="2">
                  <c:v>0.67663043478260887</c:v>
                </c:pt>
                <c:pt idx="3">
                  <c:v>0.73097826086956519</c:v>
                </c:pt>
                <c:pt idx="4">
                  <c:v>0.70380434782608692</c:v>
                </c:pt>
                <c:pt idx="5">
                  <c:v>0.73913043478260865</c:v>
                </c:pt>
                <c:pt idx="6">
                  <c:v>0.72282608695652173</c:v>
                </c:pt>
              </c:numCache>
            </c:numRef>
          </c:val>
        </c:ser>
        <c:ser>
          <c:idx val="2"/>
          <c:order val="2"/>
          <c:tx>
            <c:strRef>
              <c:f>Sheet1!$J$7</c:f>
              <c:strCache>
                <c:ptCount val="1"/>
                <c:pt idx="0">
                  <c:v>11 12 pb</c:v>
                </c:pt>
              </c:strCache>
            </c:strRef>
          </c:tx>
          <c:invertIfNegative val="0"/>
          <c:dLbls>
            <c:txPr>
              <a:bodyPr rot="-5400000" vert="horz"/>
              <a:lstStyle/>
              <a:p>
                <a:pPr>
                  <a:defRPr/>
                </a:pPr>
                <a:endParaRPr lang="en-US"/>
              </a:p>
            </c:txPr>
            <c:showLegendKey val="0"/>
            <c:showVal val="1"/>
            <c:showCatName val="0"/>
            <c:showSerName val="0"/>
            <c:showPercent val="0"/>
            <c:showBubbleSize val="0"/>
            <c:showLeaderLines val="0"/>
          </c:dLbls>
          <c:cat>
            <c:strRef>
              <c:f>Sheet1!$G$8:$G$14</c:f>
              <c:strCache>
                <c:ptCount val="7"/>
                <c:pt idx="0">
                  <c:v>I. Students as Learners</c:v>
                </c:pt>
                <c:pt idx="1">
                  <c:v>II.Instruction/Assessment </c:v>
                </c:pt>
                <c:pt idx="2">
                  <c:v>III.  Professionalism</c:v>
                </c:pt>
                <c:pt idx="3">
                  <c:v>IV. SA Students as Learners</c:v>
                </c:pt>
                <c:pt idx="4">
                  <c:v>V.  SA Instruction/Assessment</c:v>
                </c:pt>
                <c:pt idx="5">
                  <c:v>VI. SA Communication </c:v>
                </c:pt>
                <c:pt idx="6">
                  <c:v>VII: SA Professionalism</c:v>
                </c:pt>
              </c:strCache>
            </c:strRef>
          </c:cat>
          <c:val>
            <c:numRef>
              <c:f>Sheet1!$J$8:$J$14</c:f>
              <c:numCache>
                <c:formatCode>0.00%</c:formatCode>
                <c:ptCount val="7"/>
                <c:pt idx="0">
                  <c:v>0.79429347826086949</c:v>
                </c:pt>
                <c:pt idx="1">
                  <c:v>0.74239130434782608</c:v>
                </c:pt>
                <c:pt idx="2">
                  <c:v>0.72581521739130439</c:v>
                </c:pt>
                <c:pt idx="3">
                  <c:v>0.71548913043478257</c:v>
                </c:pt>
                <c:pt idx="4">
                  <c:v>0.68940217391304348</c:v>
                </c:pt>
                <c:pt idx="5">
                  <c:v>0.66956521739130426</c:v>
                </c:pt>
                <c:pt idx="6">
                  <c:v>0.63641304347826089</c:v>
                </c:pt>
              </c:numCache>
            </c:numRef>
          </c:val>
        </c:ser>
        <c:ser>
          <c:idx val="3"/>
          <c:order val="3"/>
          <c:tx>
            <c:strRef>
              <c:f>Sheet1!$K$7</c:f>
              <c:strCache>
                <c:ptCount val="1"/>
                <c:pt idx="0">
                  <c:v>11 12 Trad</c:v>
                </c:pt>
              </c:strCache>
            </c:strRef>
          </c:tx>
          <c:invertIfNegative val="0"/>
          <c:dLbls>
            <c:txPr>
              <a:bodyPr rot="-5400000" vert="horz"/>
              <a:lstStyle/>
              <a:p>
                <a:pPr>
                  <a:defRPr/>
                </a:pPr>
                <a:endParaRPr lang="en-US"/>
              </a:p>
            </c:txPr>
            <c:showLegendKey val="0"/>
            <c:showVal val="1"/>
            <c:showCatName val="0"/>
            <c:showSerName val="0"/>
            <c:showPercent val="0"/>
            <c:showBubbleSize val="0"/>
            <c:showLeaderLines val="0"/>
          </c:dLbls>
          <c:cat>
            <c:strRef>
              <c:f>Sheet1!$G$8:$G$14</c:f>
              <c:strCache>
                <c:ptCount val="7"/>
                <c:pt idx="0">
                  <c:v>I. Students as Learners</c:v>
                </c:pt>
                <c:pt idx="1">
                  <c:v>II.Instruction/Assessment </c:v>
                </c:pt>
                <c:pt idx="2">
                  <c:v>III.  Professionalism</c:v>
                </c:pt>
                <c:pt idx="3">
                  <c:v>IV. SA Students as Learners</c:v>
                </c:pt>
                <c:pt idx="4">
                  <c:v>V.  SA Instruction/Assessment</c:v>
                </c:pt>
                <c:pt idx="5">
                  <c:v>VI. SA Communication </c:v>
                </c:pt>
                <c:pt idx="6">
                  <c:v>VII: SA Professionalism</c:v>
                </c:pt>
              </c:strCache>
            </c:strRef>
          </c:cat>
          <c:val>
            <c:numRef>
              <c:f>Sheet1!$K$8:$K$14</c:f>
              <c:numCache>
                <c:formatCode>0.00%</c:formatCode>
                <c:ptCount val="7"/>
                <c:pt idx="0">
                  <c:v>0.79159999999999997</c:v>
                </c:pt>
                <c:pt idx="1">
                  <c:v>0.77080000000000004</c:v>
                </c:pt>
                <c:pt idx="2">
                  <c:v>0.60609999999999997</c:v>
                </c:pt>
                <c:pt idx="3">
                  <c:v>0.625</c:v>
                </c:pt>
                <c:pt idx="4">
                  <c:v>0.60409999999999997</c:v>
                </c:pt>
                <c:pt idx="5">
                  <c:v>0.63880000000000003</c:v>
                </c:pt>
                <c:pt idx="6">
                  <c:v>0.63880000000000003</c:v>
                </c:pt>
              </c:numCache>
            </c:numRef>
          </c:val>
        </c:ser>
        <c:dLbls>
          <c:showLegendKey val="0"/>
          <c:showVal val="0"/>
          <c:showCatName val="0"/>
          <c:showSerName val="0"/>
          <c:showPercent val="0"/>
          <c:showBubbleSize val="0"/>
        </c:dLbls>
        <c:gapWidth val="150"/>
        <c:axId val="42435712"/>
        <c:axId val="42437248"/>
      </c:barChart>
      <c:catAx>
        <c:axId val="42435712"/>
        <c:scaling>
          <c:orientation val="minMax"/>
        </c:scaling>
        <c:delete val="0"/>
        <c:axPos val="b"/>
        <c:majorTickMark val="none"/>
        <c:minorTickMark val="none"/>
        <c:tickLblPos val="nextTo"/>
        <c:txPr>
          <a:bodyPr/>
          <a:lstStyle/>
          <a:p>
            <a:pPr>
              <a:defRPr sz="800" baseline="0"/>
            </a:pPr>
            <a:endParaRPr lang="en-US"/>
          </a:p>
        </c:txPr>
        <c:crossAx val="42437248"/>
        <c:crosses val="autoZero"/>
        <c:auto val="1"/>
        <c:lblAlgn val="ctr"/>
        <c:lblOffset val="100"/>
        <c:noMultiLvlLbl val="0"/>
      </c:catAx>
      <c:valAx>
        <c:axId val="42437248"/>
        <c:scaling>
          <c:orientation val="minMax"/>
          <c:max val="1"/>
        </c:scaling>
        <c:delete val="0"/>
        <c:axPos val="l"/>
        <c:majorGridlines/>
        <c:numFmt formatCode="0.00%" sourceLinked="1"/>
        <c:majorTickMark val="none"/>
        <c:minorTickMark val="none"/>
        <c:tickLblPos val="nextTo"/>
        <c:txPr>
          <a:bodyPr/>
          <a:lstStyle/>
          <a:p>
            <a:pPr>
              <a:defRPr sz="800" baseline="0"/>
            </a:pPr>
            <a:endParaRPr lang="en-US"/>
          </a:p>
        </c:txPr>
        <c:crossAx val="42435712"/>
        <c:crosses val="autoZero"/>
        <c:crossBetween val="between"/>
      </c:valAx>
    </c:plotArea>
    <c:legend>
      <c:legendPos val="r"/>
      <c:layout/>
      <c:overlay val="0"/>
      <c:txPr>
        <a:bodyPr/>
        <a:lstStyle/>
        <a:p>
          <a:pPr>
            <a:defRPr sz="800" baseline="0"/>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4"/>
    </mc:Choice>
    <mc:Fallback>
      <c:style val="44"/>
    </mc:Fallback>
  </mc:AlternateContent>
  <c:clrMapOvr bg1="lt1" tx1="dk1" bg2="lt2" tx2="dk2" accent1="accent1" accent2="accent2" accent3="accent3" accent4="accent4" accent5="accent5" accent6="accent6" hlink="hlink" folHlink="folHlink"/>
  <c:chart>
    <c:title>
      <c:tx>
        <c:rich>
          <a:bodyPr/>
          <a:lstStyle/>
          <a:p>
            <a:pPr>
              <a:defRPr sz="1100" baseline="0"/>
            </a:pPr>
            <a:r>
              <a:rPr lang="en-US"/>
              <a:t>Percent Correct on Teaching Reading Topics</a:t>
            </a:r>
          </a:p>
        </c:rich>
      </c:tx>
      <c:layout/>
      <c:overlay val="0"/>
    </c:title>
    <c:autoTitleDeleted val="0"/>
    <c:plotArea>
      <c:layout/>
      <c:barChart>
        <c:barDir val="col"/>
        <c:grouping val="clustered"/>
        <c:varyColors val="0"/>
        <c:ser>
          <c:idx val="0"/>
          <c:order val="0"/>
          <c:tx>
            <c:strRef>
              <c:f>Sheet1!$H$15</c:f>
              <c:strCache>
                <c:ptCount val="1"/>
                <c:pt idx="0">
                  <c:v>10 11 pb</c:v>
                </c:pt>
              </c:strCache>
            </c:strRef>
          </c:tx>
          <c:invertIfNegative val="0"/>
          <c:dLbls>
            <c:txPr>
              <a:bodyPr rot="-5400000" vert="horz"/>
              <a:lstStyle/>
              <a:p>
                <a:pPr>
                  <a:defRPr/>
                </a:pPr>
                <a:endParaRPr lang="en-US"/>
              </a:p>
            </c:txPr>
            <c:showLegendKey val="0"/>
            <c:showVal val="1"/>
            <c:showCatName val="0"/>
            <c:showSerName val="0"/>
            <c:showPercent val="0"/>
            <c:showBubbleSize val="0"/>
            <c:showLeaderLines val="0"/>
          </c:dLbls>
          <c:cat>
            <c:strRef>
              <c:f>Sheet1!$G$16:$G$21</c:f>
              <c:strCache>
                <c:ptCount val="6"/>
                <c:pt idx="0">
                  <c:v>I. Emergent Literacy</c:v>
                </c:pt>
                <c:pt idx="1">
                  <c:v>II. Phonological Awareness</c:v>
                </c:pt>
                <c:pt idx="2">
                  <c:v>III. Alphabetic/Phonics </c:v>
                </c:pt>
                <c:pt idx="3">
                  <c:v>IV. Comprehension/Fluency</c:v>
                </c:pt>
                <c:pt idx="4">
                  <c:v>V. Vocabulary</c:v>
                </c:pt>
                <c:pt idx="5">
                  <c:v>VI. Instructional Processes</c:v>
                </c:pt>
              </c:strCache>
            </c:strRef>
          </c:cat>
          <c:val>
            <c:numRef>
              <c:f>Sheet1!$H$16:$H$21</c:f>
              <c:numCache>
                <c:formatCode>0.00%</c:formatCode>
                <c:ptCount val="6"/>
                <c:pt idx="0">
                  <c:v>0.83620000000000005</c:v>
                </c:pt>
                <c:pt idx="1">
                  <c:v>0.76</c:v>
                </c:pt>
                <c:pt idx="2">
                  <c:v>0.746</c:v>
                </c:pt>
                <c:pt idx="3">
                  <c:v>0.7</c:v>
                </c:pt>
                <c:pt idx="4">
                  <c:v>0.84000000000000008</c:v>
                </c:pt>
                <c:pt idx="5">
                  <c:v>0.79430000000000001</c:v>
                </c:pt>
              </c:numCache>
            </c:numRef>
          </c:val>
        </c:ser>
        <c:ser>
          <c:idx val="1"/>
          <c:order val="1"/>
          <c:tx>
            <c:strRef>
              <c:f>Sheet1!$I$15</c:f>
              <c:strCache>
                <c:ptCount val="1"/>
                <c:pt idx="0">
                  <c:v>10 11 Trad</c:v>
                </c:pt>
              </c:strCache>
            </c:strRef>
          </c:tx>
          <c:invertIfNegative val="0"/>
          <c:dLbls>
            <c:txPr>
              <a:bodyPr rot="-5400000" vert="horz"/>
              <a:lstStyle/>
              <a:p>
                <a:pPr>
                  <a:defRPr/>
                </a:pPr>
                <a:endParaRPr lang="en-US"/>
              </a:p>
            </c:txPr>
            <c:showLegendKey val="0"/>
            <c:showVal val="1"/>
            <c:showCatName val="0"/>
            <c:showSerName val="0"/>
            <c:showPercent val="0"/>
            <c:showBubbleSize val="0"/>
            <c:showLeaderLines val="0"/>
          </c:dLbls>
          <c:cat>
            <c:strRef>
              <c:f>Sheet1!$G$16:$G$21</c:f>
              <c:strCache>
                <c:ptCount val="6"/>
                <c:pt idx="0">
                  <c:v>I. Emergent Literacy</c:v>
                </c:pt>
                <c:pt idx="1">
                  <c:v>II. Phonological Awareness</c:v>
                </c:pt>
                <c:pt idx="2">
                  <c:v>III. Alphabetic/Phonics </c:v>
                </c:pt>
                <c:pt idx="3">
                  <c:v>IV. Comprehension/Fluency</c:v>
                </c:pt>
                <c:pt idx="4">
                  <c:v>V. Vocabulary</c:v>
                </c:pt>
                <c:pt idx="5">
                  <c:v>VI. Instructional Processes</c:v>
                </c:pt>
              </c:strCache>
            </c:strRef>
          </c:cat>
          <c:val>
            <c:numRef>
              <c:f>Sheet1!$I$16:$I$21</c:f>
              <c:numCache>
                <c:formatCode>0.00%</c:formatCode>
                <c:ptCount val="6"/>
                <c:pt idx="0">
                  <c:v>0.78779393939393927</c:v>
                </c:pt>
                <c:pt idx="1">
                  <c:v>0.67999999999999994</c:v>
                </c:pt>
                <c:pt idx="2">
                  <c:v>0.63059230769230756</c:v>
                </c:pt>
                <c:pt idx="3">
                  <c:v>0.67136666666666656</c:v>
                </c:pt>
                <c:pt idx="4">
                  <c:v>0.73781111111111131</c:v>
                </c:pt>
                <c:pt idx="5">
                  <c:v>0.72993703703703727</c:v>
                </c:pt>
              </c:numCache>
            </c:numRef>
          </c:val>
        </c:ser>
        <c:ser>
          <c:idx val="2"/>
          <c:order val="2"/>
          <c:tx>
            <c:strRef>
              <c:f>Sheet1!$J$15</c:f>
              <c:strCache>
                <c:ptCount val="1"/>
                <c:pt idx="0">
                  <c:v>11 12 pb</c:v>
                </c:pt>
              </c:strCache>
            </c:strRef>
          </c:tx>
          <c:invertIfNegative val="0"/>
          <c:dLbls>
            <c:txPr>
              <a:bodyPr rot="-5400000" vert="horz"/>
              <a:lstStyle/>
              <a:p>
                <a:pPr>
                  <a:defRPr/>
                </a:pPr>
                <a:endParaRPr lang="en-US"/>
              </a:p>
            </c:txPr>
            <c:showLegendKey val="0"/>
            <c:showVal val="1"/>
            <c:showCatName val="0"/>
            <c:showSerName val="0"/>
            <c:showPercent val="0"/>
            <c:showBubbleSize val="0"/>
            <c:showLeaderLines val="0"/>
          </c:dLbls>
          <c:cat>
            <c:strRef>
              <c:f>Sheet1!$G$16:$G$21</c:f>
              <c:strCache>
                <c:ptCount val="6"/>
                <c:pt idx="0">
                  <c:v>I. Emergent Literacy</c:v>
                </c:pt>
                <c:pt idx="1">
                  <c:v>II. Phonological Awareness</c:v>
                </c:pt>
                <c:pt idx="2">
                  <c:v>III. Alphabetic/Phonics </c:v>
                </c:pt>
                <c:pt idx="3">
                  <c:v>IV. Comprehension/Fluency</c:v>
                </c:pt>
                <c:pt idx="4">
                  <c:v>V. Vocabulary</c:v>
                </c:pt>
                <c:pt idx="5">
                  <c:v>VI. Instructional Processes</c:v>
                </c:pt>
              </c:strCache>
            </c:strRef>
          </c:cat>
          <c:val>
            <c:numRef>
              <c:f>Sheet1!$J$16:$J$21</c:f>
              <c:numCache>
                <c:formatCode>0.00%</c:formatCode>
                <c:ptCount val="6"/>
                <c:pt idx="0">
                  <c:v>0.66199999999999992</c:v>
                </c:pt>
                <c:pt idx="1">
                  <c:v>0.85450000000000004</c:v>
                </c:pt>
                <c:pt idx="2">
                  <c:v>0.42649999999999999</c:v>
                </c:pt>
                <c:pt idx="3">
                  <c:v>0.71450000000000002</c:v>
                </c:pt>
                <c:pt idx="4">
                  <c:v>0.53100000000000003</c:v>
                </c:pt>
                <c:pt idx="5">
                  <c:v>0.66700000000000004</c:v>
                </c:pt>
              </c:numCache>
            </c:numRef>
          </c:val>
        </c:ser>
        <c:ser>
          <c:idx val="3"/>
          <c:order val="3"/>
          <c:tx>
            <c:strRef>
              <c:f>Sheet1!$K$15</c:f>
              <c:strCache>
                <c:ptCount val="1"/>
                <c:pt idx="0">
                  <c:v>11 12 Trad</c:v>
                </c:pt>
              </c:strCache>
            </c:strRef>
          </c:tx>
          <c:invertIfNegative val="0"/>
          <c:dLbls>
            <c:txPr>
              <a:bodyPr rot="-5400000" vert="horz"/>
              <a:lstStyle/>
              <a:p>
                <a:pPr>
                  <a:defRPr/>
                </a:pPr>
                <a:endParaRPr lang="en-US"/>
              </a:p>
            </c:txPr>
            <c:showLegendKey val="0"/>
            <c:showVal val="1"/>
            <c:showCatName val="0"/>
            <c:showSerName val="0"/>
            <c:showPercent val="0"/>
            <c:showBubbleSize val="0"/>
            <c:showLeaderLines val="0"/>
          </c:dLbls>
          <c:cat>
            <c:strRef>
              <c:f>Sheet1!$G$16:$G$21</c:f>
              <c:strCache>
                <c:ptCount val="6"/>
                <c:pt idx="0">
                  <c:v>I. Emergent Literacy</c:v>
                </c:pt>
                <c:pt idx="1">
                  <c:v>II. Phonological Awareness</c:v>
                </c:pt>
                <c:pt idx="2">
                  <c:v>III. Alphabetic/Phonics </c:v>
                </c:pt>
                <c:pt idx="3">
                  <c:v>IV. Comprehension/Fluency</c:v>
                </c:pt>
                <c:pt idx="4">
                  <c:v>V. Vocabulary</c:v>
                </c:pt>
                <c:pt idx="5">
                  <c:v>VI. Instructional Processes</c:v>
                </c:pt>
              </c:strCache>
            </c:strRef>
          </c:cat>
          <c:val>
            <c:numRef>
              <c:f>Sheet1!$K$16:$K$21</c:f>
              <c:numCache>
                <c:formatCode>0.00%</c:formatCode>
                <c:ptCount val="6"/>
                <c:pt idx="0">
                  <c:v>0.74199999999999999</c:v>
                </c:pt>
                <c:pt idx="1">
                  <c:v>0.61370000000000002</c:v>
                </c:pt>
                <c:pt idx="2">
                  <c:v>0.5575</c:v>
                </c:pt>
                <c:pt idx="3">
                  <c:v>0.71750000000000003</c:v>
                </c:pt>
                <c:pt idx="4">
                  <c:v>0.64070000000000005</c:v>
                </c:pt>
                <c:pt idx="5">
                  <c:v>0.68049999999999999</c:v>
                </c:pt>
              </c:numCache>
            </c:numRef>
          </c:val>
        </c:ser>
        <c:dLbls>
          <c:showLegendKey val="0"/>
          <c:showVal val="0"/>
          <c:showCatName val="0"/>
          <c:showSerName val="0"/>
          <c:showPercent val="0"/>
          <c:showBubbleSize val="0"/>
        </c:dLbls>
        <c:gapWidth val="150"/>
        <c:axId val="39552896"/>
        <c:axId val="39554432"/>
      </c:barChart>
      <c:catAx>
        <c:axId val="39552896"/>
        <c:scaling>
          <c:orientation val="minMax"/>
        </c:scaling>
        <c:delete val="0"/>
        <c:axPos val="b"/>
        <c:majorTickMark val="none"/>
        <c:minorTickMark val="none"/>
        <c:tickLblPos val="nextTo"/>
        <c:txPr>
          <a:bodyPr/>
          <a:lstStyle/>
          <a:p>
            <a:pPr>
              <a:defRPr sz="800" baseline="0"/>
            </a:pPr>
            <a:endParaRPr lang="en-US"/>
          </a:p>
        </c:txPr>
        <c:crossAx val="39554432"/>
        <c:crosses val="autoZero"/>
        <c:auto val="1"/>
        <c:lblAlgn val="ctr"/>
        <c:lblOffset val="100"/>
        <c:noMultiLvlLbl val="0"/>
      </c:catAx>
      <c:valAx>
        <c:axId val="39554432"/>
        <c:scaling>
          <c:orientation val="minMax"/>
          <c:max val="1"/>
        </c:scaling>
        <c:delete val="0"/>
        <c:axPos val="l"/>
        <c:majorGridlines/>
        <c:numFmt formatCode="0.00%" sourceLinked="1"/>
        <c:majorTickMark val="none"/>
        <c:minorTickMark val="none"/>
        <c:tickLblPos val="nextTo"/>
        <c:txPr>
          <a:bodyPr/>
          <a:lstStyle/>
          <a:p>
            <a:pPr>
              <a:defRPr sz="800" baseline="0"/>
            </a:pPr>
            <a:endParaRPr lang="en-US"/>
          </a:p>
        </c:txPr>
        <c:crossAx val="39552896"/>
        <c:crosses val="autoZero"/>
        <c:crossBetween val="between"/>
      </c:valAx>
    </c:plotArea>
    <c:legend>
      <c:legendPos val="r"/>
      <c:layout/>
      <c:overlay val="0"/>
      <c:txPr>
        <a:bodyPr/>
        <a:lstStyle/>
        <a:p>
          <a:pPr>
            <a:defRPr sz="800" baseline="0"/>
          </a:pPr>
          <a:endParaRPr lang="en-US"/>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4"/>
    </mc:Choice>
    <mc:Fallback>
      <c:style val="44"/>
    </mc:Fallback>
  </mc:AlternateContent>
  <c:clrMapOvr bg1="lt1" tx1="dk1" bg2="lt2" tx2="dk2" accent1="accent1" accent2="accent2" accent3="accent3" accent4="accent4" accent5="accent5" accent6="accent6" hlink="hlink" folHlink="folHlink"/>
  <c:chart>
    <c:title>
      <c:tx>
        <c:rich>
          <a:bodyPr/>
          <a:lstStyle/>
          <a:p>
            <a:pPr>
              <a:defRPr sz="1100" baseline="0"/>
            </a:pPr>
            <a:r>
              <a:rPr lang="en-US"/>
              <a:t>Percent Correct on Mathematics Content</a:t>
            </a:r>
            <a:r>
              <a:rPr lang="en-US" baseline="0"/>
              <a:t> Area Topics</a:t>
            </a:r>
            <a:endParaRPr lang="en-US"/>
          </a:p>
        </c:rich>
      </c:tx>
      <c:layout/>
      <c:overlay val="0"/>
    </c:title>
    <c:autoTitleDeleted val="0"/>
    <c:plotArea>
      <c:layout/>
      <c:barChart>
        <c:barDir val="col"/>
        <c:grouping val="clustered"/>
        <c:varyColors val="0"/>
        <c:ser>
          <c:idx val="0"/>
          <c:order val="0"/>
          <c:tx>
            <c:strRef>
              <c:f>Sheet1!$H$22</c:f>
              <c:strCache>
                <c:ptCount val="1"/>
                <c:pt idx="0">
                  <c:v>10 11 Trad</c:v>
                </c:pt>
              </c:strCache>
            </c:strRef>
          </c:tx>
          <c:invertIfNegative val="0"/>
          <c:dLbls>
            <c:txPr>
              <a:bodyPr rot="-5400000" vert="horz"/>
              <a:lstStyle/>
              <a:p>
                <a:pPr>
                  <a:defRPr/>
                </a:pPr>
                <a:endParaRPr lang="en-US"/>
              </a:p>
            </c:txPr>
            <c:showLegendKey val="0"/>
            <c:showVal val="1"/>
            <c:showCatName val="0"/>
            <c:showSerName val="0"/>
            <c:showPercent val="0"/>
            <c:showBubbleSize val="0"/>
            <c:showLeaderLines val="0"/>
          </c:dLbls>
          <c:cat>
            <c:strRef>
              <c:f>Sheet1!$G$23:$G$27</c:f>
              <c:strCache>
                <c:ptCount val="5"/>
                <c:pt idx="0">
                  <c:v>I. Algebra/ Number Theory</c:v>
                </c:pt>
                <c:pt idx="1">
                  <c:v>II. Measurement, Geom/Trig</c:v>
                </c:pt>
                <c:pt idx="2">
                  <c:v>III. Functions/Calculus</c:v>
                </c:pt>
                <c:pt idx="3">
                  <c:v>IV. Data/Stat/ Probability</c:v>
                </c:pt>
                <c:pt idx="4">
                  <c:v>V. Matrix Alg/Dis Math </c:v>
                </c:pt>
              </c:strCache>
            </c:strRef>
          </c:cat>
          <c:val>
            <c:numRef>
              <c:f>Sheet1!$H$23:$H$27</c:f>
              <c:numCache>
                <c:formatCode>0.00%</c:formatCode>
                <c:ptCount val="5"/>
                <c:pt idx="0">
                  <c:v>0.4443333333333333</c:v>
                </c:pt>
                <c:pt idx="1">
                  <c:v>0.6</c:v>
                </c:pt>
                <c:pt idx="2">
                  <c:v>0.625</c:v>
                </c:pt>
                <c:pt idx="3">
                  <c:v>0.66666666666666663</c:v>
                </c:pt>
                <c:pt idx="4">
                  <c:v>0.59233333333333327</c:v>
                </c:pt>
              </c:numCache>
            </c:numRef>
          </c:val>
        </c:ser>
        <c:ser>
          <c:idx val="1"/>
          <c:order val="1"/>
          <c:tx>
            <c:strRef>
              <c:f>Sheet1!$I$22</c:f>
              <c:strCache>
                <c:ptCount val="1"/>
                <c:pt idx="0">
                  <c:v>11 12 Trad</c:v>
                </c:pt>
              </c:strCache>
            </c:strRef>
          </c:tx>
          <c:invertIfNegative val="0"/>
          <c:dLbls>
            <c:txPr>
              <a:bodyPr rot="-5400000" vert="horz"/>
              <a:lstStyle/>
              <a:p>
                <a:pPr>
                  <a:defRPr/>
                </a:pPr>
                <a:endParaRPr lang="en-US"/>
              </a:p>
            </c:txPr>
            <c:showLegendKey val="0"/>
            <c:showVal val="1"/>
            <c:showCatName val="0"/>
            <c:showSerName val="0"/>
            <c:showPercent val="0"/>
            <c:showBubbleSize val="0"/>
            <c:showLeaderLines val="0"/>
          </c:dLbls>
          <c:cat>
            <c:strRef>
              <c:f>Sheet1!$G$23:$G$27</c:f>
              <c:strCache>
                <c:ptCount val="5"/>
                <c:pt idx="0">
                  <c:v>I. Algebra/ Number Theory</c:v>
                </c:pt>
                <c:pt idx="1">
                  <c:v>II. Measurement, Geom/Trig</c:v>
                </c:pt>
                <c:pt idx="2">
                  <c:v>III. Functions/Calculus</c:v>
                </c:pt>
                <c:pt idx="3">
                  <c:v>IV. Data/Stat/ Probability</c:v>
                </c:pt>
                <c:pt idx="4">
                  <c:v>V. Matrix Alg/Dis Math </c:v>
                </c:pt>
              </c:strCache>
            </c:strRef>
          </c:cat>
          <c:val>
            <c:numRef>
              <c:f>Sheet1!$I$23:$I$27</c:f>
              <c:numCache>
                <c:formatCode>0.00%</c:formatCode>
                <c:ptCount val="5"/>
                <c:pt idx="0">
                  <c:v>0.75</c:v>
                </c:pt>
                <c:pt idx="1">
                  <c:v>0.9</c:v>
                </c:pt>
                <c:pt idx="2">
                  <c:v>0.625</c:v>
                </c:pt>
                <c:pt idx="3">
                  <c:v>0.9</c:v>
                </c:pt>
                <c:pt idx="4">
                  <c:v>0.66700000000000004</c:v>
                </c:pt>
              </c:numCache>
            </c:numRef>
          </c:val>
        </c:ser>
        <c:dLbls>
          <c:showLegendKey val="0"/>
          <c:showVal val="0"/>
          <c:showCatName val="0"/>
          <c:showSerName val="0"/>
          <c:showPercent val="0"/>
          <c:showBubbleSize val="0"/>
        </c:dLbls>
        <c:gapWidth val="150"/>
        <c:axId val="45334912"/>
        <c:axId val="45336448"/>
      </c:barChart>
      <c:catAx>
        <c:axId val="45334912"/>
        <c:scaling>
          <c:orientation val="minMax"/>
        </c:scaling>
        <c:delete val="0"/>
        <c:axPos val="b"/>
        <c:majorTickMark val="none"/>
        <c:minorTickMark val="none"/>
        <c:tickLblPos val="nextTo"/>
        <c:txPr>
          <a:bodyPr/>
          <a:lstStyle/>
          <a:p>
            <a:pPr>
              <a:defRPr sz="800" baseline="0"/>
            </a:pPr>
            <a:endParaRPr lang="en-US"/>
          </a:p>
        </c:txPr>
        <c:crossAx val="45336448"/>
        <c:crosses val="autoZero"/>
        <c:auto val="1"/>
        <c:lblAlgn val="ctr"/>
        <c:lblOffset val="100"/>
        <c:noMultiLvlLbl val="0"/>
      </c:catAx>
      <c:valAx>
        <c:axId val="45336448"/>
        <c:scaling>
          <c:orientation val="minMax"/>
        </c:scaling>
        <c:delete val="0"/>
        <c:axPos val="l"/>
        <c:majorGridlines/>
        <c:numFmt formatCode="0.00%" sourceLinked="1"/>
        <c:majorTickMark val="none"/>
        <c:minorTickMark val="none"/>
        <c:tickLblPos val="nextTo"/>
        <c:txPr>
          <a:bodyPr/>
          <a:lstStyle/>
          <a:p>
            <a:pPr>
              <a:defRPr sz="800" baseline="0"/>
            </a:pPr>
            <a:endParaRPr lang="en-US"/>
          </a:p>
        </c:txPr>
        <c:crossAx val="45334912"/>
        <c:crosses val="autoZero"/>
        <c:crossBetween val="between"/>
      </c:valAx>
    </c:plotArea>
    <c:legend>
      <c:legendPos val="r"/>
      <c:layout/>
      <c:overlay val="0"/>
      <c:txPr>
        <a:bodyPr/>
        <a:lstStyle/>
        <a:p>
          <a:pPr>
            <a:defRPr sz="800" baseline="0"/>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4"/>
    </mc:Choice>
    <mc:Fallback>
      <c:style val="44"/>
    </mc:Fallback>
  </mc:AlternateContent>
  <c:clrMapOvr bg1="lt1" tx1="dk1" bg2="lt2" tx2="dk2" accent1="accent1" accent2="accent2" accent3="accent3" accent4="accent4" accent5="accent5" accent6="accent6" hlink="hlink" folHlink="folHlink"/>
  <c:chart>
    <c:title>
      <c:tx>
        <c:rich>
          <a:bodyPr/>
          <a:lstStyle/>
          <a:p>
            <a:pPr>
              <a:defRPr sz="1100" baseline="0"/>
            </a:pPr>
            <a:r>
              <a:rPr lang="en-US"/>
              <a:t>Percent Correct on Science Content Area Topics</a:t>
            </a:r>
          </a:p>
        </c:rich>
      </c:tx>
      <c:layout/>
      <c:overlay val="0"/>
    </c:title>
    <c:autoTitleDeleted val="0"/>
    <c:plotArea>
      <c:layout/>
      <c:barChart>
        <c:barDir val="col"/>
        <c:grouping val="clustered"/>
        <c:varyColors val="0"/>
        <c:ser>
          <c:idx val="0"/>
          <c:order val="0"/>
          <c:tx>
            <c:strRef>
              <c:f>Sheet1!$H$28</c:f>
              <c:strCache>
                <c:ptCount val="1"/>
                <c:pt idx="0">
                  <c:v>11 12 Trad</c:v>
                </c:pt>
              </c:strCache>
            </c:strRef>
          </c:tx>
          <c:invertIfNegative val="0"/>
          <c:dLbls>
            <c:txPr>
              <a:bodyPr rot="-5400000" vert="horz"/>
              <a:lstStyle/>
              <a:p>
                <a:pPr>
                  <a:defRPr/>
                </a:pPr>
                <a:endParaRPr lang="en-US"/>
              </a:p>
            </c:txPr>
            <c:showLegendKey val="0"/>
            <c:showVal val="1"/>
            <c:showCatName val="0"/>
            <c:showSerName val="0"/>
            <c:showPercent val="0"/>
            <c:showBubbleSize val="0"/>
            <c:showLeaderLines val="0"/>
          </c:dLbls>
          <c:cat>
            <c:strRef>
              <c:f>Sheet1!$G$29:$G$35</c:f>
              <c:strCache>
                <c:ptCount val="7"/>
                <c:pt idx="0">
                  <c:v>I. Scientific Method/Tech/His</c:v>
                </c:pt>
                <c:pt idx="1">
                  <c:v>II. Basic Principles</c:v>
                </c:pt>
                <c:pt idx="2">
                  <c:v>III. Physical Sciences</c:v>
                </c:pt>
                <c:pt idx="3">
                  <c:v>IV. Life Sciences</c:v>
                </c:pt>
                <c:pt idx="4">
                  <c:v>V. Earth/Space Sciences</c:v>
                </c:pt>
                <c:pt idx="5">
                  <c:v>VI. Science, Tech, Society</c:v>
                </c:pt>
                <c:pt idx="6">
                  <c:v>VII. Content Essays</c:v>
                </c:pt>
              </c:strCache>
            </c:strRef>
          </c:cat>
          <c:val>
            <c:numRef>
              <c:f>Sheet1!$H$29:$H$35</c:f>
              <c:numCache>
                <c:formatCode>0.00%</c:formatCode>
                <c:ptCount val="7"/>
                <c:pt idx="0">
                  <c:v>0.72250000000000003</c:v>
                </c:pt>
                <c:pt idx="1">
                  <c:v>0.32150000000000001</c:v>
                </c:pt>
                <c:pt idx="2">
                  <c:v>0.45450000000000002</c:v>
                </c:pt>
                <c:pt idx="3">
                  <c:v>0.44450000000000001</c:v>
                </c:pt>
                <c:pt idx="4">
                  <c:v>0.44450000000000001</c:v>
                </c:pt>
                <c:pt idx="5">
                  <c:v>0.61099999999999999</c:v>
                </c:pt>
                <c:pt idx="6">
                  <c:v>0.16700000000000001</c:v>
                </c:pt>
              </c:numCache>
            </c:numRef>
          </c:val>
        </c:ser>
        <c:dLbls>
          <c:showLegendKey val="0"/>
          <c:showVal val="0"/>
          <c:showCatName val="0"/>
          <c:showSerName val="0"/>
          <c:showPercent val="0"/>
          <c:showBubbleSize val="0"/>
        </c:dLbls>
        <c:gapWidth val="150"/>
        <c:axId val="51516544"/>
        <c:axId val="48399104"/>
      </c:barChart>
      <c:catAx>
        <c:axId val="51516544"/>
        <c:scaling>
          <c:orientation val="minMax"/>
        </c:scaling>
        <c:delete val="0"/>
        <c:axPos val="b"/>
        <c:majorTickMark val="none"/>
        <c:minorTickMark val="none"/>
        <c:tickLblPos val="nextTo"/>
        <c:txPr>
          <a:bodyPr/>
          <a:lstStyle/>
          <a:p>
            <a:pPr>
              <a:defRPr sz="800" baseline="0"/>
            </a:pPr>
            <a:endParaRPr lang="en-US"/>
          </a:p>
        </c:txPr>
        <c:crossAx val="48399104"/>
        <c:crosses val="autoZero"/>
        <c:auto val="1"/>
        <c:lblAlgn val="ctr"/>
        <c:lblOffset val="100"/>
        <c:noMultiLvlLbl val="0"/>
      </c:catAx>
      <c:valAx>
        <c:axId val="48399104"/>
        <c:scaling>
          <c:orientation val="minMax"/>
          <c:max val="1"/>
        </c:scaling>
        <c:delete val="0"/>
        <c:axPos val="l"/>
        <c:majorGridlines/>
        <c:numFmt formatCode="0.00%" sourceLinked="1"/>
        <c:majorTickMark val="none"/>
        <c:minorTickMark val="none"/>
        <c:tickLblPos val="nextTo"/>
        <c:txPr>
          <a:bodyPr/>
          <a:lstStyle/>
          <a:p>
            <a:pPr>
              <a:defRPr sz="800" baseline="0"/>
            </a:pPr>
            <a:endParaRPr lang="en-US"/>
          </a:p>
        </c:txPr>
        <c:crossAx val="51516544"/>
        <c:crosses val="autoZero"/>
        <c:crossBetween val="between"/>
      </c:valAx>
    </c:plotArea>
    <c:legend>
      <c:legendPos val="r"/>
      <c:layout/>
      <c:overlay val="0"/>
      <c:txPr>
        <a:bodyPr/>
        <a:lstStyle/>
        <a:p>
          <a:pPr>
            <a:defRPr sz="800" baseline="0"/>
          </a:pPr>
          <a:endParaRPr lang="en-US"/>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4"/>
    </mc:Choice>
    <mc:Fallback>
      <c:style val="44"/>
    </mc:Fallback>
  </mc:AlternateContent>
  <c:clrMapOvr bg1="lt1" tx1="dk1" bg2="lt2" tx2="dk2" accent1="accent1" accent2="accent2" accent3="accent3" accent4="accent4" accent5="accent5" accent6="accent6" hlink="hlink" folHlink="folHlink"/>
  <c:chart>
    <c:title>
      <c:tx>
        <c:rich>
          <a:bodyPr/>
          <a:lstStyle/>
          <a:p>
            <a:pPr>
              <a:defRPr sz="1100" baseline="0"/>
            </a:pPr>
            <a:r>
              <a:rPr lang="en-US"/>
              <a:t>Percent Correct on Language Arts</a:t>
            </a:r>
            <a:r>
              <a:rPr lang="en-US" baseline="0"/>
              <a:t> Topic Areas</a:t>
            </a:r>
            <a:endParaRPr lang="en-US"/>
          </a:p>
        </c:rich>
      </c:tx>
      <c:layout/>
      <c:overlay val="0"/>
    </c:title>
    <c:autoTitleDeleted val="0"/>
    <c:plotArea>
      <c:layout/>
      <c:barChart>
        <c:barDir val="col"/>
        <c:grouping val="clustered"/>
        <c:varyColors val="0"/>
        <c:ser>
          <c:idx val="0"/>
          <c:order val="0"/>
          <c:tx>
            <c:strRef>
              <c:f>Sheet1!$H$36</c:f>
              <c:strCache>
                <c:ptCount val="1"/>
                <c:pt idx="0">
                  <c:v>10 11 Trad</c:v>
                </c:pt>
              </c:strCache>
            </c:strRef>
          </c:tx>
          <c:invertIfNegative val="0"/>
          <c:dLbls>
            <c:txPr>
              <a:bodyPr rot="-5400000" vert="horz"/>
              <a:lstStyle/>
              <a:p>
                <a:pPr>
                  <a:defRPr/>
                </a:pPr>
                <a:endParaRPr lang="en-US"/>
              </a:p>
            </c:txPr>
            <c:showLegendKey val="0"/>
            <c:showVal val="1"/>
            <c:showCatName val="0"/>
            <c:showSerName val="0"/>
            <c:showPercent val="0"/>
            <c:showBubbleSize val="0"/>
            <c:showLeaderLines val="0"/>
          </c:dLbls>
          <c:cat>
            <c:strRef>
              <c:f>Sheet1!$G$37:$G$40</c:f>
              <c:strCache>
                <c:ptCount val="4"/>
                <c:pt idx="0">
                  <c:v>I. Reading/ Literature /</c:v>
                </c:pt>
                <c:pt idx="1">
                  <c:v>II. Language Study</c:v>
                </c:pt>
                <c:pt idx="2">
                  <c:v>III. Composition/Rhetoric</c:v>
                </c:pt>
                <c:pt idx="3">
                  <c:v>IV. Short Essays</c:v>
                </c:pt>
              </c:strCache>
            </c:strRef>
          </c:cat>
          <c:val>
            <c:numRef>
              <c:f>Sheet1!$H$37:$H$40</c:f>
              <c:numCache>
                <c:formatCode>0.00%</c:formatCode>
                <c:ptCount val="4"/>
                <c:pt idx="0">
                  <c:v>0.74800000000000011</c:v>
                </c:pt>
                <c:pt idx="1">
                  <c:v>0.66666666666666663</c:v>
                </c:pt>
                <c:pt idx="2">
                  <c:v>0.72399999999999987</c:v>
                </c:pt>
                <c:pt idx="3">
                  <c:v>0.8886666666666666</c:v>
                </c:pt>
              </c:numCache>
            </c:numRef>
          </c:val>
        </c:ser>
        <c:ser>
          <c:idx val="1"/>
          <c:order val="1"/>
          <c:tx>
            <c:strRef>
              <c:f>Sheet1!$I$36</c:f>
              <c:strCache>
                <c:ptCount val="1"/>
                <c:pt idx="0">
                  <c:v>11 12 pb</c:v>
                </c:pt>
              </c:strCache>
            </c:strRef>
          </c:tx>
          <c:invertIfNegative val="0"/>
          <c:dLbls>
            <c:txPr>
              <a:bodyPr rot="-5400000" vert="horz"/>
              <a:lstStyle/>
              <a:p>
                <a:pPr>
                  <a:defRPr/>
                </a:pPr>
                <a:endParaRPr lang="en-US"/>
              </a:p>
            </c:txPr>
            <c:showLegendKey val="0"/>
            <c:showVal val="1"/>
            <c:showCatName val="0"/>
            <c:showSerName val="0"/>
            <c:showPercent val="0"/>
            <c:showBubbleSize val="0"/>
            <c:showLeaderLines val="0"/>
          </c:dLbls>
          <c:cat>
            <c:strRef>
              <c:f>Sheet1!$G$37:$G$40</c:f>
              <c:strCache>
                <c:ptCount val="4"/>
                <c:pt idx="0">
                  <c:v>I. Reading/ Literature /</c:v>
                </c:pt>
                <c:pt idx="1">
                  <c:v>II. Language Study</c:v>
                </c:pt>
                <c:pt idx="2">
                  <c:v>III. Composition/Rhetoric</c:v>
                </c:pt>
                <c:pt idx="3">
                  <c:v>IV. Short Essays</c:v>
                </c:pt>
              </c:strCache>
            </c:strRef>
          </c:cat>
          <c:val>
            <c:numRef>
              <c:f>Sheet1!$I$37:$I$40</c:f>
              <c:numCache>
                <c:formatCode>0.00%</c:formatCode>
                <c:ptCount val="4"/>
                <c:pt idx="0">
                  <c:v>0.86399999999999999</c:v>
                </c:pt>
                <c:pt idx="1">
                  <c:v>0.86699999999999999</c:v>
                </c:pt>
                <c:pt idx="2">
                  <c:v>0.871</c:v>
                </c:pt>
                <c:pt idx="3">
                  <c:v>0.58299999999999996</c:v>
                </c:pt>
              </c:numCache>
            </c:numRef>
          </c:val>
        </c:ser>
        <c:ser>
          <c:idx val="2"/>
          <c:order val="2"/>
          <c:tx>
            <c:strRef>
              <c:f>Sheet1!$J$36</c:f>
              <c:strCache>
                <c:ptCount val="1"/>
                <c:pt idx="0">
                  <c:v>11 12 Trad</c:v>
                </c:pt>
              </c:strCache>
            </c:strRef>
          </c:tx>
          <c:invertIfNegative val="0"/>
          <c:dLbls>
            <c:txPr>
              <a:bodyPr rot="-5400000" vert="horz"/>
              <a:lstStyle/>
              <a:p>
                <a:pPr>
                  <a:defRPr/>
                </a:pPr>
                <a:endParaRPr lang="en-US"/>
              </a:p>
            </c:txPr>
            <c:showLegendKey val="0"/>
            <c:showVal val="1"/>
            <c:showCatName val="0"/>
            <c:showSerName val="0"/>
            <c:showPercent val="0"/>
            <c:showBubbleSize val="0"/>
            <c:showLeaderLines val="0"/>
          </c:dLbls>
          <c:cat>
            <c:strRef>
              <c:f>Sheet1!$G$37:$G$40</c:f>
              <c:strCache>
                <c:ptCount val="4"/>
                <c:pt idx="0">
                  <c:v>I. Reading/ Literature /</c:v>
                </c:pt>
                <c:pt idx="1">
                  <c:v>II. Language Study</c:v>
                </c:pt>
                <c:pt idx="2">
                  <c:v>III. Composition/Rhetoric</c:v>
                </c:pt>
                <c:pt idx="3">
                  <c:v>IV. Short Essays</c:v>
                </c:pt>
              </c:strCache>
            </c:strRef>
          </c:cat>
          <c:val>
            <c:numRef>
              <c:f>Sheet1!$J$37:$J$40</c:f>
              <c:numCache>
                <c:formatCode>0.00%</c:formatCode>
                <c:ptCount val="4"/>
                <c:pt idx="0">
                  <c:v>0.68799999999999994</c:v>
                </c:pt>
                <c:pt idx="1">
                  <c:v>0.57609999999999995</c:v>
                </c:pt>
                <c:pt idx="2">
                  <c:v>0.65700000000000003</c:v>
                </c:pt>
                <c:pt idx="3">
                  <c:v>0.67700000000000005</c:v>
                </c:pt>
              </c:numCache>
            </c:numRef>
          </c:val>
        </c:ser>
        <c:dLbls>
          <c:showLegendKey val="0"/>
          <c:showVal val="0"/>
          <c:showCatName val="0"/>
          <c:showSerName val="0"/>
          <c:showPercent val="0"/>
          <c:showBubbleSize val="0"/>
        </c:dLbls>
        <c:gapWidth val="150"/>
        <c:axId val="51290496"/>
        <c:axId val="51292032"/>
      </c:barChart>
      <c:catAx>
        <c:axId val="51290496"/>
        <c:scaling>
          <c:orientation val="minMax"/>
        </c:scaling>
        <c:delete val="0"/>
        <c:axPos val="b"/>
        <c:majorTickMark val="none"/>
        <c:minorTickMark val="none"/>
        <c:tickLblPos val="nextTo"/>
        <c:txPr>
          <a:bodyPr/>
          <a:lstStyle/>
          <a:p>
            <a:pPr>
              <a:defRPr sz="800" baseline="0"/>
            </a:pPr>
            <a:endParaRPr lang="en-US"/>
          </a:p>
        </c:txPr>
        <c:crossAx val="51292032"/>
        <c:crosses val="autoZero"/>
        <c:auto val="1"/>
        <c:lblAlgn val="ctr"/>
        <c:lblOffset val="100"/>
        <c:noMultiLvlLbl val="0"/>
      </c:catAx>
      <c:valAx>
        <c:axId val="51292032"/>
        <c:scaling>
          <c:orientation val="minMax"/>
        </c:scaling>
        <c:delete val="0"/>
        <c:axPos val="l"/>
        <c:majorGridlines/>
        <c:numFmt formatCode="0.00%" sourceLinked="1"/>
        <c:majorTickMark val="none"/>
        <c:minorTickMark val="none"/>
        <c:tickLblPos val="nextTo"/>
        <c:txPr>
          <a:bodyPr/>
          <a:lstStyle/>
          <a:p>
            <a:pPr>
              <a:defRPr sz="800" baseline="0"/>
            </a:pPr>
            <a:endParaRPr lang="en-US"/>
          </a:p>
        </c:txPr>
        <c:crossAx val="51290496"/>
        <c:crosses val="autoZero"/>
        <c:crossBetween val="between"/>
      </c:valAx>
    </c:plotArea>
    <c:legend>
      <c:legendPos val="r"/>
      <c:layout/>
      <c:overlay val="0"/>
      <c:txPr>
        <a:bodyPr/>
        <a:lstStyle/>
        <a:p>
          <a:pPr>
            <a:defRPr sz="800" baseline="0"/>
          </a:pPr>
          <a:endParaRPr lang="en-US"/>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4"/>
    </mc:Choice>
    <mc:Fallback>
      <c:style val="44"/>
    </mc:Fallback>
  </mc:AlternateContent>
  <c:clrMapOvr bg1="lt1" tx1="dk1" bg2="lt2" tx2="dk2" accent1="accent1" accent2="accent2" accent3="accent3" accent4="accent4" accent5="accent5" accent6="accent6" hlink="hlink" folHlink="folHlink"/>
  <c:chart>
    <c:title>
      <c:tx>
        <c:rich>
          <a:bodyPr/>
          <a:lstStyle/>
          <a:p>
            <a:pPr>
              <a:defRPr sz="1100" baseline="0"/>
            </a:pPr>
            <a:r>
              <a:rPr lang="en-US"/>
              <a:t>Percent Correct on Social Studies Content Area Topics</a:t>
            </a:r>
          </a:p>
        </c:rich>
      </c:tx>
      <c:layout/>
      <c:overlay val="0"/>
    </c:title>
    <c:autoTitleDeleted val="0"/>
    <c:plotArea>
      <c:layout/>
      <c:barChart>
        <c:barDir val="col"/>
        <c:grouping val="clustered"/>
        <c:varyColors val="0"/>
        <c:ser>
          <c:idx val="0"/>
          <c:order val="0"/>
          <c:tx>
            <c:strRef>
              <c:f>Sheet1!$H$41</c:f>
              <c:strCache>
                <c:ptCount val="1"/>
                <c:pt idx="0">
                  <c:v>11 12 pb</c:v>
                </c:pt>
              </c:strCache>
            </c:strRef>
          </c:tx>
          <c:invertIfNegative val="0"/>
          <c:dLbls>
            <c:txPr>
              <a:bodyPr rot="-5400000" vert="horz"/>
              <a:lstStyle/>
              <a:p>
                <a:pPr>
                  <a:defRPr/>
                </a:pPr>
                <a:endParaRPr lang="en-US"/>
              </a:p>
            </c:txPr>
            <c:showLegendKey val="0"/>
            <c:showVal val="1"/>
            <c:showCatName val="0"/>
            <c:showSerName val="0"/>
            <c:showPercent val="0"/>
            <c:showBubbleSize val="0"/>
            <c:showLeaderLines val="0"/>
          </c:dLbls>
          <c:cat>
            <c:strRef>
              <c:f>Sheet1!$G$42:$G$47</c:f>
              <c:strCache>
                <c:ptCount val="6"/>
                <c:pt idx="0">
                  <c:v>I. United States History</c:v>
                </c:pt>
                <c:pt idx="1">
                  <c:v>II. World History</c:v>
                </c:pt>
                <c:pt idx="2">
                  <c:v>III. Government/Civics</c:v>
                </c:pt>
                <c:pt idx="3">
                  <c:v>IV. Geography</c:v>
                </c:pt>
                <c:pt idx="4">
                  <c:v>V. Economics</c:v>
                </c:pt>
                <c:pt idx="5">
                  <c:v>VI. Short Essays</c:v>
                </c:pt>
              </c:strCache>
            </c:strRef>
          </c:cat>
          <c:val>
            <c:numRef>
              <c:f>Sheet1!$H$42:$H$47</c:f>
              <c:numCache>
                <c:formatCode>0.00%</c:formatCode>
                <c:ptCount val="6"/>
                <c:pt idx="0">
                  <c:v>0.65</c:v>
                </c:pt>
                <c:pt idx="1">
                  <c:v>0.313</c:v>
                </c:pt>
                <c:pt idx="2">
                  <c:v>0.6</c:v>
                </c:pt>
                <c:pt idx="3">
                  <c:v>0.64300000000000002</c:v>
                </c:pt>
                <c:pt idx="4">
                  <c:v>0.42899999999999999</c:v>
                </c:pt>
                <c:pt idx="5">
                  <c:v>0.33300000000000002</c:v>
                </c:pt>
              </c:numCache>
            </c:numRef>
          </c:val>
        </c:ser>
        <c:ser>
          <c:idx val="1"/>
          <c:order val="1"/>
          <c:tx>
            <c:strRef>
              <c:f>Sheet1!$I$41</c:f>
              <c:strCache>
                <c:ptCount val="1"/>
                <c:pt idx="0">
                  <c:v>11 12 Trad</c:v>
                </c:pt>
              </c:strCache>
            </c:strRef>
          </c:tx>
          <c:invertIfNegative val="0"/>
          <c:dLbls>
            <c:txPr>
              <a:bodyPr rot="-5400000" vert="horz"/>
              <a:lstStyle/>
              <a:p>
                <a:pPr>
                  <a:defRPr/>
                </a:pPr>
                <a:endParaRPr lang="en-US"/>
              </a:p>
            </c:txPr>
            <c:showLegendKey val="0"/>
            <c:showVal val="1"/>
            <c:showCatName val="0"/>
            <c:showSerName val="0"/>
            <c:showPercent val="0"/>
            <c:showBubbleSize val="0"/>
            <c:showLeaderLines val="0"/>
          </c:dLbls>
          <c:cat>
            <c:strRef>
              <c:f>Sheet1!$G$42:$G$47</c:f>
              <c:strCache>
                <c:ptCount val="6"/>
                <c:pt idx="0">
                  <c:v>I. United States History</c:v>
                </c:pt>
                <c:pt idx="1">
                  <c:v>II. World History</c:v>
                </c:pt>
                <c:pt idx="2">
                  <c:v>III. Government/Civics</c:v>
                </c:pt>
                <c:pt idx="3">
                  <c:v>IV. Geography</c:v>
                </c:pt>
                <c:pt idx="4">
                  <c:v>V. Economics</c:v>
                </c:pt>
                <c:pt idx="5">
                  <c:v>VI. Short Essays</c:v>
                </c:pt>
              </c:strCache>
            </c:strRef>
          </c:cat>
          <c:val>
            <c:numRef>
              <c:f>Sheet1!$I$42:$I$47</c:f>
              <c:numCache>
                <c:formatCode>0.00%</c:formatCode>
                <c:ptCount val="6"/>
                <c:pt idx="0">
                  <c:v>0.47499999999999998</c:v>
                </c:pt>
                <c:pt idx="1">
                  <c:v>0.48899999999999999</c:v>
                </c:pt>
                <c:pt idx="2">
                  <c:v>0.49330000000000002</c:v>
                </c:pt>
                <c:pt idx="3">
                  <c:v>0.4551</c:v>
                </c:pt>
                <c:pt idx="4">
                  <c:v>0.54990000000000006</c:v>
                </c:pt>
                <c:pt idx="5">
                  <c:v>0.49459999999999998</c:v>
                </c:pt>
              </c:numCache>
            </c:numRef>
          </c:val>
        </c:ser>
        <c:dLbls>
          <c:showLegendKey val="0"/>
          <c:showVal val="0"/>
          <c:showCatName val="0"/>
          <c:showSerName val="0"/>
          <c:showPercent val="0"/>
          <c:showBubbleSize val="0"/>
        </c:dLbls>
        <c:gapWidth val="150"/>
        <c:axId val="51174400"/>
        <c:axId val="52196096"/>
      </c:barChart>
      <c:catAx>
        <c:axId val="51174400"/>
        <c:scaling>
          <c:orientation val="minMax"/>
        </c:scaling>
        <c:delete val="0"/>
        <c:axPos val="b"/>
        <c:majorTickMark val="none"/>
        <c:minorTickMark val="none"/>
        <c:tickLblPos val="nextTo"/>
        <c:txPr>
          <a:bodyPr/>
          <a:lstStyle/>
          <a:p>
            <a:pPr>
              <a:defRPr sz="800" baseline="0"/>
            </a:pPr>
            <a:endParaRPr lang="en-US"/>
          </a:p>
        </c:txPr>
        <c:crossAx val="52196096"/>
        <c:crosses val="autoZero"/>
        <c:auto val="1"/>
        <c:lblAlgn val="ctr"/>
        <c:lblOffset val="100"/>
        <c:noMultiLvlLbl val="0"/>
      </c:catAx>
      <c:valAx>
        <c:axId val="52196096"/>
        <c:scaling>
          <c:orientation val="minMax"/>
          <c:max val="1"/>
        </c:scaling>
        <c:delete val="0"/>
        <c:axPos val="l"/>
        <c:majorGridlines/>
        <c:numFmt formatCode="0.00%" sourceLinked="1"/>
        <c:majorTickMark val="none"/>
        <c:minorTickMark val="none"/>
        <c:tickLblPos val="nextTo"/>
        <c:txPr>
          <a:bodyPr/>
          <a:lstStyle/>
          <a:p>
            <a:pPr>
              <a:defRPr sz="800" baseline="0"/>
            </a:pPr>
            <a:endParaRPr lang="en-US"/>
          </a:p>
        </c:txPr>
        <c:crossAx val="51174400"/>
        <c:crosses val="autoZero"/>
        <c:crossBetween val="between"/>
      </c:valAx>
    </c:plotArea>
    <c:legend>
      <c:legendPos val="r"/>
      <c:layout/>
      <c:overlay val="0"/>
      <c:txPr>
        <a:bodyPr/>
        <a:lstStyle/>
        <a:p>
          <a:pPr>
            <a:defRPr sz="800" baseline="0"/>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37</TotalTime>
  <Pages>4</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Cincinnati, CECH</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BauerAM</dc:creator>
  <cp:lastModifiedBy>BauerAM</cp:lastModifiedBy>
  <cp:revision>1</cp:revision>
  <dcterms:created xsi:type="dcterms:W3CDTF">2012-07-06T12:13:00Z</dcterms:created>
  <dcterms:modified xsi:type="dcterms:W3CDTF">2012-07-06T12:50:00Z</dcterms:modified>
</cp:coreProperties>
</file>