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2C226AE5"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324BD5">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47D8BA0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DD3050">
        <w:rPr>
          <w:rFonts w:ascii="Times New Roman" w:hAnsi="Times New Roman" w:cs="Times New Roman"/>
          <w:sz w:val="24"/>
        </w:rPr>
        <w:t xml:space="preserve"> Arman Angeles</w:t>
      </w:r>
    </w:p>
    <w:p w14:paraId="2BB40AD4" w14:textId="4B849590"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DD3050">
        <w:rPr>
          <w:rFonts w:ascii="Times New Roman" w:hAnsi="Times New Roman" w:cs="Times New Roman"/>
          <w:sz w:val="24"/>
        </w:rPr>
        <w:t xml:space="preserve"> PATH (Projects for Assistance in Transition from Homelessness) Homeless Outreach </w:t>
      </w:r>
    </w:p>
    <w:p w14:paraId="35103F35" w14:textId="4565E3C6" w:rsidR="003C0F09" w:rsidRPr="003C0F09" w:rsidRDefault="00324BD5"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w:t>
        </w:r>
        <w:r w:rsidR="009424F0" w:rsidRPr="009424F0">
          <w:rPr>
            <w:rStyle w:val="Hyperlink"/>
            <w:rFonts w:ascii="Times New Roman" w:hAnsi="Times New Roman" w:cs="Times New Roman"/>
            <w:sz w:val="24"/>
          </w:rPr>
          <w:t>ncy/</w:t>
        </w:r>
        <w:r w:rsidR="009424F0" w:rsidRPr="009424F0">
          <w:rPr>
            <w:rStyle w:val="Hyperlink"/>
            <w:rFonts w:ascii="Times New Roman" w:hAnsi="Times New Roman" w:cs="Times New Roman"/>
            <w:sz w:val="24"/>
          </w:rPr>
          <w:t>Compe</w:t>
        </w:r>
        <w:r w:rsidR="009424F0" w:rsidRPr="009424F0">
          <w:rPr>
            <w:rStyle w:val="Hyperlink"/>
            <w:rFonts w:ascii="Times New Roman" w:hAnsi="Times New Roman" w:cs="Times New Roman"/>
            <w:sz w:val="24"/>
          </w:rPr>
          <w:t>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DD3050">
        <w:rPr>
          <w:rFonts w:ascii="Times New Roman" w:hAnsi="Times New Roman" w:cs="Times New Roman"/>
          <w:sz w:val="24"/>
        </w:rPr>
        <w:t>Community Engagement, Global Studies, Leadership</w:t>
      </w:r>
    </w:p>
    <w:p w14:paraId="4B55A613" w14:textId="485318B2"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DD3050">
        <w:rPr>
          <w:rFonts w:ascii="Times New Roman" w:hAnsi="Times New Roman" w:cs="Times New Roman"/>
          <w:sz w:val="24"/>
        </w:rPr>
        <w:t xml:space="preserve"> </w:t>
      </w:r>
      <w:r w:rsidR="00770BB2">
        <w:rPr>
          <w:rFonts w:ascii="Times New Roman" w:hAnsi="Times New Roman" w:cs="Times New Roman"/>
          <w:sz w:val="24"/>
        </w:rPr>
        <w:t>At the time of approval (I am already doing the experience)</w:t>
      </w:r>
    </w:p>
    <w:p w14:paraId="2FD10E3B" w14:textId="1764953C"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770BB2">
        <w:rPr>
          <w:rFonts w:ascii="Times New Roman" w:hAnsi="Times New Roman" w:cs="Times New Roman"/>
          <w:sz w:val="24"/>
        </w:rPr>
        <w:t xml:space="preserve"> December 17, 2021</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45AC554E" w:rsidR="00063A4F" w:rsidRPr="00770BB2" w:rsidRDefault="00770BB2" w:rsidP="00063A4F">
            <w:pPr>
              <w:pStyle w:val="NoSpacing"/>
              <w:rPr>
                <w:iCs/>
                <w:color w:val="AEAAAA" w:themeColor="background2" w:themeShade="BF"/>
                <w:sz w:val="22"/>
                <w:szCs w:val="22"/>
              </w:rPr>
            </w:pPr>
            <w:r>
              <w:rPr>
                <w:iCs/>
                <w:color w:val="AEAAAA" w:themeColor="background2" w:themeShade="BF"/>
                <w:sz w:val="22"/>
                <w:szCs w:val="22"/>
              </w:rPr>
              <w:t xml:space="preserve">This experience means the world to me. I have the ability go out into our community and help change the lives of individuals experiencing homelessness. Creating opportunities for these individuals that completely and positively change the way they are living their lives is hard to put into words. With that being said, I feel that this experience will tremendously help my progress toward becoming a global citizen scholar. </w:t>
            </w:r>
            <w:r w:rsidR="002C67F8">
              <w:rPr>
                <w:iCs/>
                <w:color w:val="AEAAAA" w:themeColor="background2" w:themeShade="BF"/>
                <w:sz w:val="22"/>
                <w:szCs w:val="22"/>
              </w:rPr>
              <w:t xml:space="preserve">I can engage with many agencies in Cincinnati to help brainstorm ideas to fight homelessness. I am also out in the community for most of the experience meeting individuals that are experiencing homelessness. These people come from a wide variety of backgrounds, experiences, ethnicities, and races. Because of this, I am in the position to learn about the culture that these individuals had once lived in. This allows me to compare our culture to their and strategize how to make them feel more included and welcome in Cincinnati. Lastly, I am able to learn from and to teach my coworkers and clients on subjects such as mental health, substance use disorders, and housing opportunities and complications. I feel that this experience </w:t>
            </w:r>
            <w:r w:rsidR="00E53087">
              <w:rPr>
                <w:iCs/>
                <w:color w:val="AEAAAA" w:themeColor="background2" w:themeShade="BF"/>
                <w:sz w:val="22"/>
                <w:szCs w:val="22"/>
              </w:rPr>
              <w:t>greatly encompasses what it means to be a global citizen scholar, and that it will help me better understand how I can work towards this goal.</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7FAD62EF" w14:textId="4A8BF960" w:rsidR="003C0F09" w:rsidRDefault="003C0F09" w:rsidP="003C0F09">
            <w:pPr>
              <w:rPr>
                <w:i/>
                <w:color w:val="AEAAAA" w:themeColor="background2" w:themeShade="BF"/>
                <w:sz w:val="22"/>
                <w:szCs w:val="22"/>
              </w:rPr>
            </w:pPr>
          </w:p>
          <w:p w14:paraId="76EABF33" w14:textId="38CDD31B" w:rsidR="00E53087" w:rsidRDefault="00E53087" w:rsidP="003C0F09">
            <w:pPr>
              <w:rPr>
                <w:i/>
                <w:color w:val="AEAAAA" w:themeColor="background2" w:themeShade="BF"/>
                <w:sz w:val="22"/>
                <w:szCs w:val="22"/>
              </w:rPr>
            </w:pPr>
            <w:r>
              <w:rPr>
                <w:i/>
                <w:color w:val="AEAAAA" w:themeColor="background2" w:themeShade="BF"/>
                <w:sz w:val="22"/>
                <w:szCs w:val="22"/>
              </w:rPr>
              <w:t xml:space="preserve">PATH Homeless Outreach involves engaging with homeless individuals </w:t>
            </w:r>
            <w:r w:rsidR="005B5637">
              <w:rPr>
                <w:i/>
                <w:color w:val="AEAAAA" w:themeColor="background2" w:themeShade="BF"/>
                <w:sz w:val="22"/>
                <w:szCs w:val="22"/>
              </w:rPr>
              <w:t xml:space="preserve">throughout Hamilton County </w:t>
            </w:r>
            <w:r>
              <w:rPr>
                <w:i/>
                <w:color w:val="AEAAAA" w:themeColor="background2" w:themeShade="BF"/>
                <w:sz w:val="22"/>
                <w:szCs w:val="22"/>
              </w:rPr>
              <w:t>and connecting them to several services including mental health services, substance use treatment, and housing assistance. I will be engaging with individuals at their sleeping location, which can be a tent, a car, a bench, or an abandoned building. I will then introduce myself and the services that we offer. If the individual is interested in any of our services, I will do an intake with them and then continue to reengage until all their desired services are fulfilled. I will be working 21-22 hours a week, so this will put me around 273-330 hours over the course of this semester.</w:t>
            </w:r>
          </w:p>
          <w:p w14:paraId="040C4C50" w14:textId="66D838FB" w:rsidR="00E53087" w:rsidRDefault="00E53087" w:rsidP="003C0F09">
            <w:pPr>
              <w:rPr>
                <w:i/>
                <w:color w:val="AEAAAA" w:themeColor="background2" w:themeShade="BF"/>
                <w:sz w:val="22"/>
                <w:szCs w:val="22"/>
              </w:rPr>
            </w:pPr>
          </w:p>
          <w:p w14:paraId="100EDD90" w14:textId="37B4C9B9" w:rsidR="00E53087" w:rsidRDefault="00E53087" w:rsidP="003C0F09">
            <w:pPr>
              <w:rPr>
                <w:i/>
                <w:color w:val="AEAAAA" w:themeColor="background2" w:themeShade="BF"/>
                <w:sz w:val="22"/>
                <w:szCs w:val="22"/>
              </w:rPr>
            </w:pPr>
            <w:r>
              <w:rPr>
                <w:i/>
                <w:color w:val="AEAAAA" w:themeColor="background2" w:themeShade="BF"/>
                <w:sz w:val="22"/>
                <w:szCs w:val="22"/>
              </w:rPr>
              <w:t>The risks of this experience include being in secluded locations with paranoid, worried individuals, driving around Cincinnati, and being in locations with many littered, used needles. These risks can be minimized by using de-escalation techniques and always being aware of your surroundings. If there are any times that I feel that I am in danger or uncomfortable, I will immediately remove myself from the situation and go to a location where I feel safe.</w:t>
            </w:r>
          </w:p>
          <w:p w14:paraId="2DAB8ED5" w14:textId="299345F1" w:rsidR="00E53087" w:rsidRDefault="00E53087" w:rsidP="003C0F09">
            <w:pPr>
              <w:rPr>
                <w:i/>
                <w:color w:val="AEAAAA" w:themeColor="background2" w:themeShade="BF"/>
                <w:sz w:val="22"/>
                <w:szCs w:val="22"/>
              </w:rPr>
            </w:pPr>
          </w:p>
          <w:p w14:paraId="11EEE9BF" w14:textId="4ECC5D82" w:rsidR="00E53087" w:rsidRPr="00063A4F" w:rsidRDefault="00E53087" w:rsidP="003C0F09">
            <w:pPr>
              <w:rPr>
                <w:i/>
                <w:color w:val="AEAAAA" w:themeColor="background2" w:themeShade="BF"/>
                <w:sz w:val="22"/>
                <w:szCs w:val="22"/>
              </w:rPr>
            </w:pPr>
            <w:r>
              <w:rPr>
                <w:i/>
                <w:color w:val="AEAAAA" w:themeColor="background2" w:themeShade="BF"/>
                <w:sz w:val="22"/>
                <w:szCs w:val="22"/>
              </w:rPr>
              <w:t xml:space="preserve">I will be working </w:t>
            </w:r>
            <w:r w:rsidR="005B5637">
              <w:rPr>
                <w:i/>
                <w:color w:val="AEAAAA" w:themeColor="background2" w:themeShade="BF"/>
                <w:sz w:val="22"/>
                <w:szCs w:val="22"/>
              </w:rPr>
              <w:t xml:space="preserve">8 hours Monday, 5-6 hours Wednesday, and 8 hours Friday every week all the way into winter break. The office of PATH is at 411 Gest St. at the David &amp; Rebecca Barron Center for Men; however, outreach takes place across all of Hamilton County, where any individual experiencing homelessness is sleeping. </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lastRenderedPageBreak/>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4309EE00" w14:textId="6959B5B1" w:rsidR="003C0F09" w:rsidRPr="00063A4F" w:rsidRDefault="005B5637" w:rsidP="003C0F09">
            <w:pPr>
              <w:rPr>
                <w:i/>
                <w:color w:val="AEAAAA" w:themeColor="background2" w:themeShade="BF"/>
                <w:sz w:val="22"/>
                <w:szCs w:val="22"/>
              </w:rPr>
            </w:pPr>
            <w:r>
              <w:rPr>
                <w:i/>
                <w:color w:val="AEAAAA" w:themeColor="background2" w:themeShade="BF"/>
                <w:sz w:val="22"/>
                <w:szCs w:val="22"/>
              </w:rPr>
              <w:t>Megan Jones – PATH and Gen513 Homeless Outreach Supervisor</w:t>
            </w:r>
          </w:p>
          <w:p w14:paraId="6EFC565B" w14:textId="46AC1BBE" w:rsidR="003C0F09" w:rsidRDefault="005B5637" w:rsidP="003C0F09">
            <w:pPr>
              <w:rPr>
                <w:i/>
                <w:color w:val="AEAAAA" w:themeColor="background2" w:themeShade="BF"/>
                <w:sz w:val="22"/>
                <w:szCs w:val="22"/>
              </w:rPr>
            </w:pPr>
            <w:hyperlink r:id="rId12" w:history="1">
              <w:r w:rsidRPr="00150E1D">
                <w:rPr>
                  <w:rStyle w:val="Hyperlink"/>
                  <w:i/>
                </w:rPr>
                <w:t>mjones@gcbhs.com</w:t>
              </w:r>
            </w:hyperlink>
          </w:p>
          <w:p w14:paraId="133CF3AB" w14:textId="61B8C34F" w:rsidR="005C07A7" w:rsidRDefault="005B5637" w:rsidP="003C0F09">
            <w:pPr>
              <w:rPr>
                <w:i/>
                <w:color w:val="AEAAAA" w:themeColor="background2" w:themeShade="BF"/>
                <w:sz w:val="22"/>
                <w:szCs w:val="22"/>
              </w:rPr>
            </w:pPr>
            <w:r>
              <w:rPr>
                <w:i/>
                <w:color w:val="AEAAAA" w:themeColor="background2" w:themeShade="BF"/>
                <w:sz w:val="22"/>
                <w:szCs w:val="22"/>
              </w:rPr>
              <w:t xml:space="preserve">I selected Megan as my advisor because she is the supervisor of the program. She has been working with the homeless in this field for 10 years and has a vast amount of knowledge in the </w:t>
            </w:r>
            <w:r w:rsidR="005C07A7">
              <w:rPr>
                <w:i/>
                <w:color w:val="AEAAAA" w:themeColor="background2" w:themeShade="BF"/>
                <w:sz w:val="22"/>
                <w:szCs w:val="22"/>
              </w:rPr>
              <w:t>subject. She is a great person to learn from and will also be critical of my work and engagement. I will be having one-on-one meetings with Megan every other week, and a weekly team meeting every Monday. I also will be able to ask Megan any questions that I have throughout the day via email or text.</w:t>
            </w:r>
          </w:p>
          <w:p w14:paraId="4E626BBB" w14:textId="77777777" w:rsidR="005B5637" w:rsidRPr="00063A4F" w:rsidRDefault="005B5637"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39D7144"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4D32C856"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4"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77777777" w:rsidR="003C0F09" w:rsidRPr="00063A4F" w:rsidRDefault="003C0F09" w:rsidP="003C0F09">
            <w:pPr>
              <w:rPr>
                <w:i/>
                <w:color w:val="AEAAAA" w:themeColor="background2" w:themeShade="BF"/>
                <w:sz w:val="22"/>
                <w:szCs w:val="22"/>
              </w:rPr>
            </w:pPr>
          </w:p>
          <w:p w14:paraId="0750DEAC" w14:textId="348325E0" w:rsidR="00324DB8" w:rsidRDefault="00F474B9" w:rsidP="003C0F09">
            <w:pPr>
              <w:rPr>
                <w:i/>
                <w:color w:val="AEAAAA" w:themeColor="background2" w:themeShade="BF"/>
                <w:sz w:val="22"/>
                <w:szCs w:val="22"/>
              </w:rPr>
            </w:pPr>
            <w:r>
              <w:rPr>
                <w:i/>
                <w:color w:val="AEAAAA" w:themeColor="background2" w:themeShade="BF"/>
                <w:sz w:val="22"/>
                <w:szCs w:val="22"/>
              </w:rPr>
              <w:t xml:space="preserve">Community Engagement Goal – Engage with at least 50 homeless individuals over the semester and </w:t>
            </w:r>
            <w:r w:rsidR="00084653">
              <w:rPr>
                <w:i/>
                <w:color w:val="AEAAAA" w:themeColor="background2" w:themeShade="BF"/>
                <w:sz w:val="22"/>
                <w:szCs w:val="22"/>
              </w:rPr>
              <w:t>arrange services</w:t>
            </w:r>
            <w:r>
              <w:rPr>
                <w:i/>
                <w:color w:val="AEAAAA" w:themeColor="background2" w:themeShade="BF"/>
                <w:sz w:val="22"/>
                <w:szCs w:val="22"/>
              </w:rPr>
              <w:t xml:space="preserve"> with at least 5 different agencies with resources available for homeless individuals. </w:t>
            </w:r>
          </w:p>
          <w:p w14:paraId="43DEE285" w14:textId="442ED3BD" w:rsidR="00324DB8" w:rsidRDefault="00324DB8" w:rsidP="003C0F09">
            <w:pPr>
              <w:rPr>
                <w:i/>
                <w:color w:val="AEAAAA" w:themeColor="background2" w:themeShade="BF"/>
                <w:sz w:val="22"/>
                <w:szCs w:val="22"/>
              </w:rPr>
            </w:pPr>
            <w:r>
              <w:rPr>
                <w:i/>
                <w:color w:val="AEAAAA" w:themeColor="background2" w:themeShade="BF"/>
                <w:sz w:val="22"/>
                <w:szCs w:val="22"/>
              </w:rPr>
              <w:t>Ex. – I will try to engage with a new individual during each shift that I work and seek out agencies that have vouchers for personal identification such as ID’s and social security cards.</w:t>
            </w:r>
          </w:p>
          <w:p w14:paraId="537DD5D2" w14:textId="77777777" w:rsidR="00324DB8" w:rsidRDefault="00324DB8" w:rsidP="003C0F09">
            <w:pPr>
              <w:rPr>
                <w:i/>
                <w:color w:val="AEAAAA" w:themeColor="background2" w:themeShade="BF"/>
                <w:sz w:val="22"/>
                <w:szCs w:val="22"/>
              </w:rPr>
            </w:pPr>
          </w:p>
          <w:p w14:paraId="0CB0AF73" w14:textId="2B84991D" w:rsidR="00F474B9" w:rsidRDefault="00F474B9" w:rsidP="003C0F09">
            <w:pPr>
              <w:rPr>
                <w:i/>
                <w:color w:val="AEAAAA" w:themeColor="background2" w:themeShade="BF"/>
                <w:sz w:val="22"/>
                <w:szCs w:val="22"/>
              </w:rPr>
            </w:pPr>
            <w:r>
              <w:rPr>
                <w:i/>
                <w:color w:val="AEAAAA" w:themeColor="background2" w:themeShade="BF"/>
                <w:sz w:val="22"/>
                <w:szCs w:val="22"/>
              </w:rPr>
              <w:t xml:space="preserve">Leadership </w:t>
            </w:r>
            <w:r w:rsidR="00084653">
              <w:rPr>
                <w:i/>
                <w:color w:val="AEAAAA" w:themeColor="background2" w:themeShade="BF"/>
                <w:sz w:val="22"/>
                <w:szCs w:val="22"/>
              </w:rPr>
              <w:t>Goal – Lead 5 team meetings regarding growing resources and allocating funds</w:t>
            </w:r>
            <w:r w:rsidR="00546113">
              <w:rPr>
                <w:i/>
                <w:color w:val="AEAAAA" w:themeColor="background2" w:themeShade="BF"/>
                <w:sz w:val="22"/>
                <w:szCs w:val="22"/>
              </w:rPr>
              <w:t xml:space="preserve"> for supplies that can help homeless individuals stay safe and healthy.</w:t>
            </w:r>
          </w:p>
          <w:p w14:paraId="6FCBEEFB" w14:textId="297AC020" w:rsidR="00324DB8" w:rsidRDefault="00324DB8" w:rsidP="003C0F09">
            <w:pPr>
              <w:rPr>
                <w:i/>
                <w:color w:val="AEAAAA" w:themeColor="background2" w:themeShade="BF"/>
                <w:sz w:val="22"/>
                <w:szCs w:val="22"/>
              </w:rPr>
            </w:pPr>
            <w:r>
              <w:rPr>
                <w:i/>
                <w:color w:val="AEAAAA" w:themeColor="background2" w:themeShade="BF"/>
                <w:sz w:val="22"/>
                <w:szCs w:val="22"/>
              </w:rPr>
              <w:t>Ex. – I will research other communities with a high homeless population and analyze their guidelines to see if there are better procedures that we could implement.</w:t>
            </w:r>
          </w:p>
          <w:p w14:paraId="6DC524CA" w14:textId="77777777" w:rsidR="00324DB8" w:rsidRDefault="00324DB8" w:rsidP="003C0F09">
            <w:pPr>
              <w:rPr>
                <w:i/>
                <w:color w:val="AEAAAA" w:themeColor="background2" w:themeShade="BF"/>
                <w:sz w:val="22"/>
                <w:szCs w:val="22"/>
              </w:rPr>
            </w:pPr>
          </w:p>
          <w:p w14:paraId="09C7D351" w14:textId="5C4E59F3" w:rsidR="00546113" w:rsidRDefault="00546113" w:rsidP="003C0F09">
            <w:pPr>
              <w:rPr>
                <w:i/>
                <w:color w:val="AEAAAA" w:themeColor="background2" w:themeShade="BF"/>
                <w:sz w:val="22"/>
                <w:szCs w:val="22"/>
              </w:rPr>
            </w:pPr>
            <w:r>
              <w:rPr>
                <w:i/>
                <w:color w:val="AEAAAA" w:themeColor="background2" w:themeShade="BF"/>
                <w:sz w:val="22"/>
                <w:szCs w:val="22"/>
              </w:rPr>
              <w:t xml:space="preserve">Personal Goal 1 </w:t>
            </w:r>
            <w:r w:rsidR="00316A77">
              <w:rPr>
                <w:i/>
                <w:color w:val="AEAAAA" w:themeColor="background2" w:themeShade="BF"/>
                <w:sz w:val="22"/>
                <w:szCs w:val="22"/>
              </w:rPr>
              <w:t>–</w:t>
            </w:r>
            <w:r>
              <w:rPr>
                <w:i/>
                <w:color w:val="AEAAAA" w:themeColor="background2" w:themeShade="BF"/>
                <w:sz w:val="22"/>
                <w:szCs w:val="22"/>
              </w:rPr>
              <w:t xml:space="preserve"> </w:t>
            </w:r>
            <w:r w:rsidR="00316A77">
              <w:rPr>
                <w:i/>
                <w:color w:val="AEAAAA" w:themeColor="background2" w:themeShade="BF"/>
                <w:sz w:val="22"/>
                <w:szCs w:val="22"/>
              </w:rPr>
              <w:t>I want to grow my knowledge of community resources for homeless individuals, so that I can deliver assistance in any circumstance that is experienced.</w:t>
            </w:r>
          </w:p>
          <w:p w14:paraId="4C5146E1" w14:textId="69D88689" w:rsidR="00324DB8" w:rsidRDefault="00324DB8" w:rsidP="003C0F09">
            <w:pPr>
              <w:rPr>
                <w:i/>
                <w:color w:val="AEAAAA" w:themeColor="background2" w:themeShade="BF"/>
                <w:sz w:val="22"/>
                <w:szCs w:val="22"/>
              </w:rPr>
            </w:pPr>
            <w:r>
              <w:rPr>
                <w:i/>
                <w:color w:val="AEAAAA" w:themeColor="background2" w:themeShade="BF"/>
                <w:sz w:val="22"/>
                <w:szCs w:val="22"/>
              </w:rPr>
              <w:t>Ex. –</w:t>
            </w:r>
            <w:r w:rsidR="00737586">
              <w:rPr>
                <w:i/>
                <w:color w:val="AEAAAA" w:themeColor="background2" w:themeShade="BF"/>
                <w:sz w:val="22"/>
                <w:szCs w:val="22"/>
              </w:rPr>
              <w:t xml:space="preserve"> I will reach out to agencies that are already established to see if they have a network of resources for targeting different goals.</w:t>
            </w:r>
          </w:p>
          <w:p w14:paraId="44DDB7E9" w14:textId="24FE56B6" w:rsidR="00316A77" w:rsidRDefault="00324DB8" w:rsidP="003C0F09">
            <w:pPr>
              <w:rPr>
                <w:i/>
                <w:color w:val="AEAAAA" w:themeColor="background2" w:themeShade="BF"/>
                <w:sz w:val="22"/>
                <w:szCs w:val="22"/>
              </w:rPr>
            </w:pPr>
            <w:r>
              <w:rPr>
                <w:i/>
                <w:color w:val="AEAAAA" w:themeColor="background2" w:themeShade="BF"/>
                <w:sz w:val="22"/>
                <w:szCs w:val="22"/>
              </w:rPr>
              <w:t xml:space="preserve"> </w:t>
            </w:r>
          </w:p>
          <w:p w14:paraId="604AEC7D" w14:textId="2CBA043B" w:rsidR="00316A77" w:rsidRDefault="00316A77" w:rsidP="003C0F09">
            <w:pPr>
              <w:rPr>
                <w:i/>
                <w:color w:val="AEAAAA" w:themeColor="background2" w:themeShade="BF"/>
                <w:sz w:val="22"/>
                <w:szCs w:val="22"/>
              </w:rPr>
            </w:pPr>
            <w:r>
              <w:rPr>
                <w:i/>
                <w:color w:val="AEAAAA" w:themeColor="background2" w:themeShade="BF"/>
                <w:sz w:val="22"/>
                <w:szCs w:val="22"/>
              </w:rPr>
              <w:t>Personal Goal 2 – I want to develop my public speaking skills by presenting our services to agencies that are not aware to become a stronger leader.</w:t>
            </w:r>
          </w:p>
          <w:p w14:paraId="3C782859" w14:textId="0EA07ED5" w:rsidR="005C07A7" w:rsidRDefault="00324DB8" w:rsidP="003C0F09">
            <w:pPr>
              <w:rPr>
                <w:i/>
                <w:color w:val="AEAAAA" w:themeColor="background2" w:themeShade="BF"/>
                <w:sz w:val="22"/>
                <w:szCs w:val="22"/>
              </w:rPr>
            </w:pPr>
            <w:r>
              <w:rPr>
                <w:i/>
                <w:color w:val="AEAAAA" w:themeColor="background2" w:themeShade="BF"/>
                <w:sz w:val="22"/>
                <w:szCs w:val="22"/>
              </w:rPr>
              <w:t xml:space="preserve">Ex. </w:t>
            </w:r>
            <w:r w:rsidR="00737586">
              <w:rPr>
                <w:i/>
                <w:color w:val="AEAAAA" w:themeColor="background2" w:themeShade="BF"/>
                <w:sz w:val="22"/>
                <w:szCs w:val="22"/>
              </w:rPr>
              <w:t>–</w:t>
            </w:r>
            <w:r>
              <w:rPr>
                <w:i/>
                <w:color w:val="AEAAAA" w:themeColor="background2" w:themeShade="BF"/>
                <w:sz w:val="22"/>
                <w:szCs w:val="22"/>
              </w:rPr>
              <w:t xml:space="preserve"> </w:t>
            </w:r>
            <w:r w:rsidR="00737586">
              <w:rPr>
                <w:i/>
                <w:color w:val="AEAAAA" w:themeColor="background2" w:themeShade="BF"/>
                <w:sz w:val="22"/>
                <w:szCs w:val="22"/>
              </w:rPr>
              <w:t>I will reach out to possible locations and businesses that may view a higher traffic of homelessness and present our contact information to them, so that they know what they can do when seeing these individuals.</w:t>
            </w:r>
          </w:p>
          <w:p w14:paraId="183FEB9D" w14:textId="30706995" w:rsidR="00316A77" w:rsidRDefault="00316A77" w:rsidP="003C0F09">
            <w:pPr>
              <w:rPr>
                <w:i/>
                <w:color w:val="AEAAAA" w:themeColor="background2" w:themeShade="BF"/>
                <w:sz w:val="22"/>
                <w:szCs w:val="22"/>
              </w:rPr>
            </w:pPr>
          </w:p>
          <w:p w14:paraId="6ABEA3CA" w14:textId="77777777" w:rsidR="00316A77" w:rsidRPr="00063A4F" w:rsidRDefault="00316A77"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20FE461A" w14:textId="408BB6E7" w:rsidR="003C0F09" w:rsidRDefault="00324BD5" w:rsidP="003C0F09">
            <w:pPr>
              <w:rPr>
                <w:i/>
                <w:color w:val="AEAAAA" w:themeColor="background2" w:themeShade="BF"/>
                <w:sz w:val="22"/>
                <w:szCs w:val="22"/>
              </w:rPr>
            </w:pPr>
            <w:r>
              <w:rPr>
                <w:i/>
                <w:color w:val="AEAAAA" w:themeColor="background2" w:themeShade="BF"/>
                <w:sz w:val="22"/>
                <w:szCs w:val="22"/>
              </w:rPr>
              <w:t>Strategies for Improving Homeless People’s Access to Mainstream Benefits and Services – Martha B., Jenneth C., Samuel H.</w:t>
            </w:r>
          </w:p>
          <w:p w14:paraId="4AF48F17" w14:textId="40C69993" w:rsidR="00324BD5" w:rsidRDefault="00324BD5" w:rsidP="003C0F09">
            <w:pPr>
              <w:rPr>
                <w:i/>
                <w:color w:val="AEAAAA" w:themeColor="background2" w:themeShade="BF"/>
                <w:sz w:val="22"/>
                <w:szCs w:val="22"/>
              </w:rPr>
            </w:pPr>
          </w:p>
          <w:p w14:paraId="1DFE7079" w14:textId="22BD2AA8" w:rsidR="00324BD5" w:rsidRDefault="00324BD5" w:rsidP="003C0F09">
            <w:pPr>
              <w:rPr>
                <w:i/>
                <w:color w:val="AEAAAA" w:themeColor="background2" w:themeShade="BF"/>
                <w:sz w:val="22"/>
                <w:szCs w:val="22"/>
              </w:rPr>
            </w:pPr>
            <w:r>
              <w:rPr>
                <w:i/>
                <w:color w:val="AEAAAA" w:themeColor="background2" w:themeShade="BF"/>
                <w:sz w:val="22"/>
                <w:szCs w:val="22"/>
              </w:rPr>
              <w:t>A major issue in this field is connecting the population to the proper benefit</w:t>
            </w:r>
            <w:r w:rsidR="009A7427">
              <w:rPr>
                <w:i/>
                <w:color w:val="AEAAAA" w:themeColor="background2" w:themeShade="BF"/>
                <w:sz w:val="22"/>
                <w:szCs w:val="22"/>
              </w:rPr>
              <w:t>s that will boost the time that it will take to transition out of homelessness. Any knowledge that I can gain to improve accessibility for the homeless will greatly increase how well I can perform my duties.</w:t>
            </w:r>
          </w:p>
          <w:p w14:paraId="02FF4FFA" w14:textId="370501E8" w:rsidR="00324BD5" w:rsidRDefault="00324BD5" w:rsidP="003C0F09">
            <w:pPr>
              <w:rPr>
                <w:i/>
                <w:color w:val="AEAAAA" w:themeColor="background2" w:themeShade="BF"/>
                <w:sz w:val="22"/>
                <w:szCs w:val="22"/>
              </w:rPr>
            </w:pPr>
          </w:p>
          <w:p w14:paraId="71B18BEC" w14:textId="39A0388D" w:rsidR="00324BD5" w:rsidRDefault="00324BD5" w:rsidP="003C0F09">
            <w:pPr>
              <w:rPr>
                <w:i/>
                <w:color w:val="AEAAAA" w:themeColor="background2" w:themeShade="BF"/>
                <w:sz w:val="22"/>
                <w:szCs w:val="22"/>
              </w:rPr>
            </w:pPr>
            <w:r>
              <w:rPr>
                <w:i/>
                <w:color w:val="AEAAAA" w:themeColor="background2" w:themeShade="BF"/>
                <w:sz w:val="22"/>
                <w:szCs w:val="22"/>
              </w:rPr>
              <w:t xml:space="preserve">Substance Abuse Treatment for Persons with Co-Occurring Disorders: Chapter 5: Strategies for Working with Clients with Co-Occurring Disorders – Substance Abuse &amp; Mental Health Services Administration </w:t>
            </w:r>
          </w:p>
          <w:p w14:paraId="52976793" w14:textId="4E1A3E61" w:rsidR="00420A0D" w:rsidRDefault="00420A0D" w:rsidP="003C0F09">
            <w:pPr>
              <w:rPr>
                <w:i/>
                <w:color w:val="AEAAAA" w:themeColor="background2" w:themeShade="BF"/>
                <w:sz w:val="22"/>
                <w:szCs w:val="22"/>
              </w:rPr>
            </w:pPr>
          </w:p>
          <w:p w14:paraId="5FD7F6CA" w14:textId="614F5F8F" w:rsidR="009A7427" w:rsidRDefault="0086688D" w:rsidP="003C0F09">
            <w:pPr>
              <w:rPr>
                <w:i/>
                <w:color w:val="AEAAAA" w:themeColor="background2" w:themeShade="BF"/>
                <w:sz w:val="22"/>
                <w:szCs w:val="22"/>
              </w:rPr>
            </w:pPr>
            <w:r>
              <w:rPr>
                <w:i/>
                <w:color w:val="AEAAAA" w:themeColor="background2" w:themeShade="BF"/>
                <w:sz w:val="22"/>
                <w:szCs w:val="22"/>
              </w:rPr>
              <w:t>Many homeless individuals suffer from mental illness and substance use disorders. Learning to work with these individuals is crucial to providing the best service possible. Chapter 5 of this book describes some strategies to accomplish quality service</w:t>
            </w:r>
            <w:r w:rsidR="004E4632">
              <w:rPr>
                <w:i/>
                <w:color w:val="AEAAAA" w:themeColor="background2" w:themeShade="BF"/>
                <w:sz w:val="22"/>
                <w:szCs w:val="22"/>
              </w:rPr>
              <w:t xml:space="preserve"> for people with co-occurring disorders.</w:t>
            </w:r>
          </w:p>
          <w:p w14:paraId="1BB00392" w14:textId="77777777" w:rsidR="009A7427" w:rsidRPr="00063A4F" w:rsidRDefault="009A7427"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3610B298"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r w:rsidR="00324BD5">
              <w:rPr>
                <w:rFonts w:ascii="Times New Roman" w:hAnsi="Times New Roman"/>
                <w:sz w:val="22"/>
                <w:szCs w:val="22"/>
              </w:rPr>
              <w:t xml:space="preserve">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60E2FDF3" w14:textId="670339E4" w:rsidR="003C0F09" w:rsidRDefault="006711FB" w:rsidP="003C0F09">
            <w:pPr>
              <w:rPr>
                <w:i/>
                <w:color w:val="AEAAAA" w:themeColor="background2" w:themeShade="BF"/>
                <w:sz w:val="22"/>
                <w:szCs w:val="22"/>
              </w:rPr>
            </w:pPr>
            <w:r>
              <w:rPr>
                <w:i/>
                <w:color w:val="AEAAAA" w:themeColor="background2" w:themeShade="BF"/>
                <w:sz w:val="22"/>
                <w:szCs w:val="22"/>
              </w:rPr>
              <w:t>I will be keeping a journal written after every meeting with my supervisor and reflect on the previous weeks as the semester goes one.</w:t>
            </w:r>
          </w:p>
          <w:p w14:paraId="01D0D731" w14:textId="083A2C39" w:rsidR="006711FB" w:rsidRDefault="006711FB" w:rsidP="006711FB">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What has the best strategies been for finding new resources?</w:t>
            </w:r>
          </w:p>
          <w:p w14:paraId="3ABF4CB1" w14:textId="4178454A" w:rsidR="006711FB" w:rsidRDefault="006711FB" w:rsidP="006711FB">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What has been the best way to connect with new homeless individuals?</w:t>
            </w:r>
          </w:p>
          <w:p w14:paraId="6A6E7B00" w14:textId="744BDC5F" w:rsidR="006711FB" w:rsidRDefault="006711FB" w:rsidP="006711FB">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can we better develop the procedures we follow to help individuals?</w:t>
            </w:r>
          </w:p>
          <w:p w14:paraId="1D522126" w14:textId="7B4E1637" w:rsidR="006711FB" w:rsidRDefault="006711FB" w:rsidP="006711FB">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can I improve presenting our services to other agencies?</w:t>
            </w:r>
          </w:p>
          <w:p w14:paraId="7DB740F0" w14:textId="198822E2" w:rsidR="006711FB" w:rsidRPr="006711FB" w:rsidRDefault="006711FB" w:rsidP="006711FB">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 xml:space="preserve">How can I improve my daily schedule to optimize the time I have with different </w:t>
            </w:r>
            <w:r w:rsidR="00B32C0D">
              <w:rPr>
                <w:rFonts w:ascii="Times New Roman" w:hAnsi="Times New Roman"/>
                <w:i/>
                <w:color w:val="AEAAAA" w:themeColor="background2" w:themeShade="BF"/>
              </w:rPr>
              <w:t>individuals</w:t>
            </w:r>
            <w:r w:rsidR="00D605CB">
              <w:rPr>
                <w:rFonts w:ascii="Times New Roman" w:hAnsi="Times New Roman"/>
                <w:i/>
                <w:color w:val="AEAAAA" w:themeColor="background2" w:themeShade="BF"/>
              </w:rPr>
              <w:t>?</w:t>
            </w:r>
          </w:p>
          <w:p w14:paraId="5AC36EF1" w14:textId="77777777" w:rsidR="006711FB" w:rsidRPr="00063A4F" w:rsidRDefault="006711FB"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27F737AD" w14:textId="0D40E410" w:rsidR="003C0F09" w:rsidRDefault="00D605CB" w:rsidP="003C0F09">
            <w:pPr>
              <w:rPr>
                <w:i/>
                <w:color w:val="AEAAAA" w:themeColor="background2" w:themeShade="BF"/>
                <w:sz w:val="22"/>
                <w:szCs w:val="22"/>
              </w:rPr>
            </w:pPr>
            <w:r>
              <w:rPr>
                <w:i/>
                <w:color w:val="AEAAAA" w:themeColor="background2" w:themeShade="BF"/>
                <w:sz w:val="22"/>
                <w:szCs w:val="22"/>
              </w:rPr>
              <w:t>Along with posting on my learning portfolio, I will be engaging with university students to break the stigma around homelessness and giving options to these students on how to best help fight homelessness in Cincinnati.</w:t>
            </w:r>
            <w:r w:rsidR="00B32C0D">
              <w:rPr>
                <w:i/>
                <w:color w:val="AEAAAA" w:themeColor="background2" w:themeShade="BF"/>
                <w:sz w:val="22"/>
                <w:szCs w:val="22"/>
              </w:rPr>
              <w:t xml:space="preserve"> </w:t>
            </w:r>
            <w:r w:rsidR="00786F1B">
              <w:rPr>
                <w:i/>
                <w:color w:val="AEAAAA" w:themeColor="background2" w:themeShade="BF"/>
                <w:sz w:val="22"/>
                <w:szCs w:val="22"/>
              </w:rPr>
              <w:t>I will prefer to do this through smaller group presentations rather than large group because I feel that it will be more impactful.</w:t>
            </w:r>
            <w:r w:rsidR="00D74115">
              <w:rPr>
                <w:i/>
                <w:color w:val="AEAAAA" w:themeColor="background2" w:themeShade="BF"/>
                <w:sz w:val="22"/>
                <w:szCs w:val="22"/>
              </w:rPr>
              <w:t xml:space="preserve"> I want to spread this information to individuals going into social work, mental health, and community health fields. I also want to target other Neuroscience majors, like myself, in the courses that I take.</w:t>
            </w:r>
          </w:p>
          <w:p w14:paraId="6030D03D" w14:textId="77777777" w:rsidR="006711FB" w:rsidRPr="00063A4F" w:rsidRDefault="006711FB"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5"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The UHP no longer provides honors grants for unpaid research or internships. You can still complete these as honors experiences, but cannot receive a grant.</w:t>
            </w:r>
          </w:p>
          <w:p w14:paraId="13BE495F" w14:textId="77777777" w:rsidR="00267AED" w:rsidRPr="00063A4F" w:rsidRDefault="00267AED" w:rsidP="00267AED">
            <w:pPr>
              <w:rPr>
                <w:sz w:val="22"/>
                <w:szCs w:val="22"/>
              </w:rPr>
            </w:pPr>
          </w:p>
          <w:p w14:paraId="06117644" w14:textId="77777777" w:rsidR="00267AED" w:rsidRPr="00063A4F" w:rsidRDefault="00267AED" w:rsidP="00267AED">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C1D02"/>
    <w:multiLevelType w:val="hybridMultilevel"/>
    <w:tmpl w:val="CCF0CB92"/>
    <w:lvl w:ilvl="0" w:tplc="914CB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12"/>
  </w:num>
  <w:num w:numId="6">
    <w:abstractNumId w:val="9"/>
  </w:num>
  <w:num w:numId="7">
    <w:abstractNumId w:val="2"/>
  </w:num>
  <w:num w:numId="8">
    <w:abstractNumId w:val="13"/>
  </w:num>
  <w:num w:numId="9">
    <w:abstractNumId w:val="0"/>
  </w:num>
  <w:num w:numId="10">
    <w:abstractNumId w:val="7"/>
  </w:num>
  <w:num w:numId="11">
    <w:abstractNumId w:val="1"/>
  </w:num>
  <w:num w:numId="12">
    <w:abstractNumId w:val="4"/>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0F09"/>
    <w:rsid w:val="00063A4F"/>
    <w:rsid w:val="00074AA1"/>
    <w:rsid w:val="00084653"/>
    <w:rsid w:val="00090772"/>
    <w:rsid w:val="000A1829"/>
    <w:rsid w:val="000F5603"/>
    <w:rsid w:val="0014438A"/>
    <w:rsid w:val="001A7881"/>
    <w:rsid w:val="0026392F"/>
    <w:rsid w:val="00267AED"/>
    <w:rsid w:val="002C67F8"/>
    <w:rsid w:val="002D47A6"/>
    <w:rsid w:val="00316A77"/>
    <w:rsid w:val="00324BD5"/>
    <w:rsid w:val="00324DB8"/>
    <w:rsid w:val="003C0F09"/>
    <w:rsid w:val="00420A0D"/>
    <w:rsid w:val="00475B0A"/>
    <w:rsid w:val="00476E73"/>
    <w:rsid w:val="004E4632"/>
    <w:rsid w:val="00517383"/>
    <w:rsid w:val="00546113"/>
    <w:rsid w:val="005812B6"/>
    <w:rsid w:val="005B5637"/>
    <w:rsid w:val="005C07A7"/>
    <w:rsid w:val="00622893"/>
    <w:rsid w:val="00625BA8"/>
    <w:rsid w:val="00625C31"/>
    <w:rsid w:val="00655B6A"/>
    <w:rsid w:val="006711FB"/>
    <w:rsid w:val="00737586"/>
    <w:rsid w:val="00770BB2"/>
    <w:rsid w:val="00786F1B"/>
    <w:rsid w:val="008250C8"/>
    <w:rsid w:val="00850715"/>
    <w:rsid w:val="0086688D"/>
    <w:rsid w:val="009020A3"/>
    <w:rsid w:val="009424F0"/>
    <w:rsid w:val="00943E34"/>
    <w:rsid w:val="009A7427"/>
    <w:rsid w:val="00AC5C9A"/>
    <w:rsid w:val="00AE5C67"/>
    <w:rsid w:val="00B32C0D"/>
    <w:rsid w:val="00C9204C"/>
    <w:rsid w:val="00D54A2E"/>
    <w:rsid w:val="00D605CB"/>
    <w:rsid w:val="00D74115"/>
    <w:rsid w:val="00DD3050"/>
    <w:rsid w:val="00E36F8F"/>
    <w:rsid w:val="00E53087"/>
    <w:rsid w:val="00F474B9"/>
    <w:rsid w:val="00F47821"/>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docId w15:val="{CDB7A421-977E-4C25-AC05-BC4FBCA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145583751">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uc.edu/campus-life/honors/about/competencie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mailto:mjones@gcbh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campus-life/honors/about.html" TargetMode="External"/><Relationship Id="rId5" Type="http://schemas.openxmlformats.org/officeDocument/2006/relationships/hyperlink" Target="https://webapps.uc.edu/uchonorsstudent" TargetMode="External"/><Relationship Id="rId15" Type="http://schemas.openxmlformats.org/officeDocument/2006/relationships/hyperlink" Target="https://www.uc.edu/campus-life/honors/students/grants.html" TargetMode="External"/><Relationship Id="rId10" Type="http://schemas.openxmlformats.org/officeDocument/2006/relationships/hyperlink" Target="https://www.uc.edu/campus-life/honors/about/competencies.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about/compete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5547</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Angeles, Arman (angelean)</cp:lastModifiedBy>
  <cp:revision>15</cp:revision>
  <dcterms:created xsi:type="dcterms:W3CDTF">2021-08-26T22:30:00Z</dcterms:created>
  <dcterms:modified xsi:type="dcterms:W3CDTF">2021-08-30T20:05:00Z</dcterms:modified>
</cp:coreProperties>
</file>